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0" w:before="120"/>
      </w:pPr>
      <w:r>
        <w:rPr>
          <w:sz w:val="44"/>
          <w:szCs w:val="44"/>
        </w:rPr>
        <w:t xml:space="preserve"/>
      </w:r>
    </w:p>
    <w:p>
      <w:pPr>
        <w:spacing w:after="40" w:before="0"/>
        <w:jc w:val="center"/>
      </w:pPr>
      <w:r>
        <w:rPr>
          <w:rFonts w:ascii="Arial" w:cs="Arial" w:eastAsia="Arial" w:hAnsi="Arial"/>
          <w:b/>
          <w:bCs/>
          <w:color w:val="1F4E79"/>
          <w:sz w:val="52"/>
          <w:szCs w:val="52"/>
        </w:rPr>
        <w:t xml:space="preserve">ESTRATEGIA JURÍDICA</w:t>
      </w:r>
    </w:p>
    <w:p>
      <w:pPr>
        <w:spacing w:after="40" w:before="0"/>
        <w:jc w:val="center"/>
      </w:pPr>
      <w:r>
        <w:rPr>
          <w:rFonts w:ascii="Arial" w:cs="Arial" w:eastAsia="Arial" w:hAnsi="Arial"/>
          <w:b/>
          <w:bCs/>
          <w:color w:val="2E5FA3"/>
          <w:sz w:val="28"/>
          <w:szCs w:val="28"/>
        </w:rPr>
        <w:t xml:space="preserve">Respuesta al Burofax sobre Ejercicio de la Patria Potestad</w:t>
      </w:r>
    </w:p>
    <w:p>
      <w:pPr>
        <w:spacing w:after="40" w:before="0"/>
        <w:jc w:val="center"/>
      </w:pPr>
      <w:r>
        <w:rPr>
          <w:rFonts w:ascii="Arial" w:cs="Arial" w:eastAsia="Arial" w:hAnsi="Arial"/>
          <w:i/>
          <w:iCs/>
          <w:color w:val="555555"/>
          <w:sz w:val="24"/>
          <w:szCs w:val="24"/>
        </w:rPr>
        <w:t xml:space="preserve">Formación religiosa del menor y Primera Comunión</w:t>
      </w:r>
    </w:p>
    <w:p>
      <w:pPr>
        <w:pBdr>
          <w:bottom w:val="single" w:color="2E5FA3" w:sz="6" w:space="1"/>
        </w:pBdr>
        <w:spacing w:after="120" w:before="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none" w:color="FFFFFF" w:sz="0"/>
              <w:left w:val="none" w:color="FFFFFF" w:sz="0"/>
              <w:bottom w:val="none" w:color="FFFFFF" w:sz="0"/>
              <w:right w:val="none" w:color="FFFFFF" w:sz="0"/>
            </w:tcBorders>
            <w:tcMar>
              <w:top w:type="dxa" w:w="80"/>
              <w:left w:type="dxa" w:w="0"/>
              <w:bottom w:type="dxa" w:w="80"/>
              <w:right w:type="dxa" w:w="120"/>
            </w:tcMar>
          </w:tcPr>
          <w:p>
            <w:r>
              <w:rPr>
                <w:rFonts w:ascii="Arial" w:cs="Arial" w:eastAsia="Arial" w:hAnsi="Arial"/>
                <w:b/>
                <w:bCs/>
                <w:sz w:val="20"/>
                <w:szCs w:val="20"/>
              </w:rPr>
              <w:t xml:space="preserve">Asunto:</w:t>
            </w:r>
          </w:p>
          <w:p>
            <w:r>
              <w:rPr>
                <w:rFonts w:ascii="Arial" w:cs="Arial" w:eastAsia="Arial" w:hAnsi="Arial"/>
                <w:sz w:val="20"/>
                <w:szCs w:val="20"/>
              </w:rPr>
              <w:t xml:space="preserve">Ejercicio conjunto de la patria potestad — Formación religiosa del menor [NOMBRE DEL HIJO], 9 años</w:t>
            </w:r>
          </w:p>
        </w:tc>
        <w:tc>
          <w:tcPr>
            <w:tcW w:type="dxa" w:w="4680"/>
            <w:tcBorders>
              <w:top w:val="none" w:color="FFFFFF" w:sz="0"/>
              <w:left w:val="none" w:color="FFFFFF" w:sz="0"/>
              <w:bottom w:val="none" w:color="FFFFFF" w:sz="0"/>
              <w:right w:val="none" w:color="FFFFFF" w:sz="0"/>
            </w:tcBorders>
            <w:tcMar>
              <w:top w:type="dxa" w:w="80"/>
              <w:left w:type="dxa" w:w="120"/>
              <w:bottom w:type="dxa" w:w="80"/>
              <w:right w:type="dxa" w:w="0"/>
            </w:tcMar>
          </w:tcPr>
          <w:p>
            <w:r>
              <w:rPr>
                <w:rFonts w:ascii="Arial" w:cs="Arial" w:eastAsia="Arial" w:hAnsi="Arial"/>
                <w:b/>
                <w:bCs/>
                <w:sz w:val="20"/>
                <w:szCs w:val="20"/>
              </w:rPr>
              <w:t xml:space="preserve">Carácter:</w:t>
            </w:r>
          </w:p>
          <w:p>
            <w:r>
              <w:rPr>
                <w:rFonts w:ascii="Arial" w:cs="Arial" w:eastAsia="Arial" w:hAnsi="Arial"/>
                <w:b/>
                <w:bCs/>
                <w:color w:val="C00000"/>
                <w:sz w:val="20"/>
                <w:szCs w:val="20"/>
              </w:rPr>
              <w:t xml:space="preserve">Documento interno de estrategia — Confidencial</w:t>
            </w:r>
          </w:p>
        </w:tc>
      </w:tr>
    </w:tbl>
    <w:p>
      <w:pPr>
        <w:spacing w:after="0" w:before="120"/>
      </w:pPr>
      <w:r>
        <w:rPr>
          <w:sz w:val="44"/>
          <w:szCs w:val="44"/>
        </w:rPr>
        <w:t xml:space="preserve"/>
      </w:r>
    </w:p>
    <w:p>
      <w:pPr>
        <w:pStyle w:val="Heading1"/>
        <w:spacing w:after="160" w:before="360"/>
      </w:pPr>
      <w:r>
        <w:rPr>
          <w:rFonts w:ascii="Arial" w:cs="Arial" w:eastAsia="Arial" w:hAnsi="Arial"/>
          <w:b/>
          <w:bCs/>
          <w:color w:val="1F4E79"/>
          <w:sz w:val="32"/>
          <w:szCs w:val="32"/>
        </w:rPr>
        <w:t xml:space="preserve">ÍNDICE</w:t>
      </w:r>
    </w:p>
    <w:p>
      <w:pPr>
        <w:pBdr>
          <w:bottom w:val="single" w:color="2E5FA3" w:sz="6" w:space="1"/>
        </w:pBdr>
        <w:spacing w:after="120" w:before="120"/>
      </w:pPr>
      <w:r>
        <w:t xml:space="preserve"/>
      </w:r>
    </w:p>
    <w:p>
      <w:pPr>
        <w:spacing w:after="40" w:before="40"/>
      </w:pPr>
      <w:r>
        <w:rPr>
          <w:rFonts w:ascii="Arial" w:cs="Arial" w:eastAsia="Arial" w:hAnsi="Arial"/>
          <w:b/>
          <w:bCs/>
          <w:color w:val="2E5FA3"/>
          <w:sz w:val="21"/>
          <w:szCs w:val="21"/>
        </w:rPr>
        <w:t xml:space="preserve">I.  </w:t>
      </w:r>
      <w:r>
        <w:rPr>
          <w:rFonts w:ascii="Arial" w:cs="Arial" w:eastAsia="Arial" w:hAnsi="Arial"/>
          <w:sz w:val="21"/>
          <w:szCs w:val="21"/>
        </w:rPr>
        <w:t xml:space="preserve">Análisis de la situación y posición jurídica de partida</w:t>
      </w:r>
    </w:p>
    <w:p>
      <w:pPr>
        <w:spacing w:after="40" w:before="40"/>
      </w:pPr>
      <w:r>
        <w:rPr>
          <w:rFonts w:ascii="Arial" w:cs="Arial" w:eastAsia="Arial" w:hAnsi="Arial"/>
          <w:b/>
          <w:bCs/>
          <w:color w:val="2E5FA3"/>
          <w:sz w:val="21"/>
          <w:szCs w:val="21"/>
        </w:rPr>
        <w:t xml:space="preserve">II.  </w:t>
      </w:r>
      <w:r>
        <w:rPr>
          <w:rFonts w:ascii="Arial" w:cs="Arial" w:eastAsia="Arial" w:hAnsi="Arial"/>
          <w:sz w:val="21"/>
          <w:szCs w:val="21"/>
        </w:rPr>
        <w:t xml:space="preserve">Mapa de escenarios y planes de acción</w:t>
      </w:r>
    </w:p>
    <w:p>
      <w:pPr>
        <w:spacing w:after="40" w:before="40"/>
      </w:pPr>
      <w:r>
        <w:rPr>
          <w:rFonts w:ascii="Arial" w:cs="Arial" w:eastAsia="Arial" w:hAnsi="Arial"/>
          <w:b/>
          <w:bCs/>
          <w:color w:val="2E5FA3"/>
          <w:sz w:val="21"/>
          <w:szCs w:val="21"/>
        </w:rPr>
        <w:t xml:space="preserve">III.  </w:t>
      </w:r>
      <w:r>
        <w:rPr>
          <w:rFonts w:ascii="Arial" w:cs="Arial" w:eastAsia="Arial" w:hAnsi="Arial"/>
          <w:sz w:val="21"/>
          <w:szCs w:val="21"/>
        </w:rPr>
        <w:t xml:space="preserve">Escenario A — Acuerdo negociado entre progenitores</w:t>
      </w:r>
    </w:p>
    <w:p>
      <w:pPr>
        <w:spacing w:after="40" w:before="40"/>
      </w:pPr>
      <w:r>
        <w:rPr>
          <w:rFonts w:ascii="Arial" w:cs="Arial" w:eastAsia="Arial" w:hAnsi="Arial"/>
          <w:b/>
          <w:bCs/>
          <w:color w:val="2E5FA3"/>
          <w:sz w:val="21"/>
          <w:szCs w:val="21"/>
        </w:rPr>
        <w:t xml:space="preserve">IV.  </w:t>
      </w:r>
      <w:r>
        <w:rPr>
          <w:rFonts w:ascii="Arial" w:cs="Arial" w:eastAsia="Arial" w:hAnsi="Arial"/>
          <w:sz w:val="21"/>
          <w:szCs w:val="21"/>
        </w:rPr>
        <w:t xml:space="preserve">Escenario B — Mediación familiar</w:t>
      </w:r>
    </w:p>
    <w:p>
      <w:pPr>
        <w:spacing w:after="40" w:before="40"/>
      </w:pPr>
      <w:r>
        <w:rPr>
          <w:rFonts w:ascii="Arial" w:cs="Arial" w:eastAsia="Arial" w:hAnsi="Arial"/>
          <w:b/>
          <w:bCs/>
          <w:color w:val="2E5FA3"/>
          <w:sz w:val="21"/>
          <w:szCs w:val="21"/>
        </w:rPr>
        <w:t xml:space="preserve">V.  </w:t>
      </w:r>
      <w:r>
        <w:rPr>
          <w:rFonts w:ascii="Arial" w:cs="Arial" w:eastAsia="Arial" w:hAnsi="Arial"/>
          <w:sz w:val="21"/>
          <w:szCs w:val="21"/>
        </w:rPr>
        <w:t xml:space="preserve">Escenario C — Judicialización vía art. 156 CC (Jurisdicción Voluntaria)</w:t>
      </w:r>
    </w:p>
    <w:p>
      <w:pPr>
        <w:spacing w:after="40" w:before="40"/>
      </w:pPr>
      <w:r>
        <w:rPr>
          <w:rFonts w:ascii="Arial" w:cs="Arial" w:eastAsia="Arial" w:hAnsi="Arial"/>
          <w:b/>
          <w:bCs/>
          <w:color w:val="2E5FA3"/>
          <w:sz w:val="21"/>
          <w:szCs w:val="21"/>
        </w:rPr>
        <w:t xml:space="preserve">VI.  </w:t>
      </w:r>
      <w:r>
        <w:rPr>
          <w:rFonts w:ascii="Arial" w:cs="Arial" w:eastAsia="Arial" w:hAnsi="Arial"/>
          <w:sz w:val="21"/>
          <w:szCs w:val="21"/>
        </w:rPr>
        <w:t xml:space="preserve">Escenario D — La madre mantiene unilateralmente la comunión</w:t>
      </w:r>
    </w:p>
    <w:p>
      <w:pPr>
        <w:spacing w:after="40" w:before="40"/>
      </w:pPr>
      <w:r>
        <w:rPr>
          <w:rFonts w:ascii="Arial" w:cs="Arial" w:eastAsia="Arial" w:hAnsi="Arial"/>
          <w:b/>
          <w:bCs/>
          <w:color w:val="2E5FA3"/>
          <w:sz w:val="21"/>
          <w:szCs w:val="21"/>
        </w:rPr>
        <w:t xml:space="preserve">VII.  </w:t>
      </w:r>
      <w:r>
        <w:rPr>
          <w:rFonts w:ascii="Arial" w:cs="Arial" w:eastAsia="Arial" w:hAnsi="Arial"/>
          <w:sz w:val="21"/>
          <w:szCs w:val="21"/>
        </w:rPr>
        <w:t xml:space="preserve">Borrador de respuesta al burofax</w:t>
      </w:r>
    </w:p>
    <w:p>
      <w:pPr>
        <w:spacing w:after="40" w:before="40"/>
      </w:pPr>
      <w:r>
        <w:rPr>
          <w:rFonts w:ascii="Arial" w:cs="Arial" w:eastAsia="Arial" w:hAnsi="Arial"/>
          <w:b/>
          <w:bCs/>
          <w:color w:val="2E5FA3"/>
          <w:sz w:val="21"/>
          <w:szCs w:val="21"/>
        </w:rPr>
        <w:t xml:space="preserve">VIII.  </w:t>
      </w:r>
      <w:r>
        <w:rPr>
          <w:rFonts w:ascii="Arial" w:cs="Arial" w:eastAsia="Arial" w:hAnsi="Arial"/>
          <w:sz w:val="21"/>
          <w:szCs w:val="21"/>
        </w:rPr>
        <w:t xml:space="preserve">Argumentario de defensa clave</w:t>
      </w:r>
    </w:p>
    <w:p>
      <w:pPr>
        <w:spacing w:after="0" w:before="60"/>
      </w:pPr>
      <w:r>
        <w:rPr>
          <w:sz w:val="22"/>
          <w:szCs w:val="22"/>
        </w:rPr>
        <w:t xml:space="preserve"/>
      </w:r>
    </w:p>
    <w:p>
      <w:r>
        <w:br w:type="page"/>
      </w:r>
    </w:p>
    <w:p>
      <w:pPr>
        <w:pStyle w:val="Heading1"/>
        <w:spacing w:after="160" w:before="360"/>
      </w:pPr>
      <w:r>
        <w:rPr>
          <w:rFonts w:ascii="Arial" w:cs="Arial" w:eastAsia="Arial" w:hAnsi="Arial"/>
          <w:b/>
          <w:bCs/>
          <w:color w:val="1F4E79"/>
          <w:sz w:val="32"/>
          <w:szCs w:val="32"/>
        </w:rPr>
        <w:t xml:space="preserve">I. ANÁLISIS DE LA SITUACIÓN Y POSICIÓN JURÍDICA DE PARTIDA</w:t>
      </w:r>
    </w:p>
    <w:p>
      <w:pPr>
        <w:pBdr>
          <w:bottom w:val="single" w:color="2E5FA3" w:sz="6" w:space="1"/>
        </w:pBdr>
        <w:spacing w:after="120" w:before="120"/>
      </w:pPr>
      <w:r>
        <w:t xml:space="preserve"/>
      </w:r>
    </w:p>
    <w:p>
      <w:pPr>
        <w:spacing w:after="0" w:before="60"/>
      </w:pPr>
      <w:r>
        <w:rPr>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none" w:color="FFFFFF" w:sz="0"/>
              <w:left w:val="none" w:color="FFFFFF" w:sz="0"/>
              <w:bottom w:val="none" w:color="FFFFFF" w:sz="0"/>
              <w:right w:val="none" w:color="FFFFFF" w:sz="0"/>
            </w:tcBorders>
            <w:shd w:fill="2E5FA3" w:val="clear"/>
            <w:tcMar>
              <w:top w:type="dxa" w:w="120"/>
              <w:left w:type="dxa" w:w="200"/>
              <w:bottom w:type="dxa" w:w="120"/>
              <w:right w:type="dxa" w:w="200"/>
            </w:tcMar>
          </w:tcPr>
          <w:p>
            <w:pPr>
              <w:jc w:val="left"/>
            </w:pPr>
            <w:r>
              <w:rPr>
                <w:rFonts w:ascii="Arial" w:cs="Arial" w:eastAsia="Arial" w:hAnsi="Arial"/>
                <w:b/>
                <w:bCs/>
                <w:color w:val="FFFFFF"/>
                <w:sz w:val="26"/>
                <w:szCs w:val="26"/>
              </w:rPr>
              <w:t xml:space="preserve">1.1 Contexto del conflicto</w:t>
            </w:r>
          </w:p>
        </w:tc>
      </w:tr>
    </w:tbl>
    <w:p>
      <w:pPr>
        <w:spacing w:after="0" w:before="60"/>
      </w:pPr>
      <w:r>
        <w:rPr>
          <w:sz w:val="22"/>
          <w:szCs w:val="22"/>
        </w:rPr>
        <w:t xml:space="preserve"/>
      </w:r>
    </w:p>
    <w:p>
      <w:pPr>
        <w:spacing w:after="60" w:before="60"/>
        <w:jc w:val="both"/>
      </w:pPr>
      <w:r>
        <w:rPr>
          <w:rFonts w:ascii="Arial" w:cs="Arial" w:eastAsia="Arial" w:hAnsi="Arial"/>
          <w:sz w:val="22"/>
          <w:szCs w:val="22"/>
        </w:rPr>
        <w:t xml:space="preserve">El burofax remitido por la representación del padre expone que la madre ha inscrito unilateralmente al hijo menor común —de 9 años— en actividades de catequesis parroquial, con intención de que reciba el sacramento de la Primera Comunión en el presente año, sin obtener el previo consentimiento del padre, quien ostenta la patria potestad conjunta.</w:t>
      </w:r>
    </w:p>
    <w:p>
      <w:pPr>
        <w:spacing w:after="0" w:before="60"/>
      </w:pPr>
      <w:r>
        <w:rPr>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none" w:color="FFFFFF" w:sz="0"/>
              <w:left w:val="none" w:color="FFFFFF" w:sz="0"/>
              <w:bottom w:val="none" w:color="FFFFFF" w:sz="0"/>
              <w:right w:val="none" w:color="FFFFFF" w:sz="0"/>
            </w:tcBorders>
            <w:shd w:fill="2E5FA3" w:val="clear"/>
            <w:tcMar>
              <w:top w:type="dxa" w:w="120"/>
              <w:left w:type="dxa" w:w="200"/>
              <w:bottom w:type="dxa" w:w="120"/>
              <w:right w:type="dxa" w:w="200"/>
            </w:tcMar>
          </w:tcPr>
          <w:p>
            <w:pPr>
              <w:jc w:val="left"/>
            </w:pPr>
            <w:r>
              <w:rPr>
                <w:rFonts w:ascii="Arial" w:cs="Arial" w:eastAsia="Arial" w:hAnsi="Arial"/>
                <w:b/>
                <w:bCs/>
                <w:color w:val="FFFFFF"/>
                <w:sz w:val="26"/>
                <w:szCs w:val="26"/>
              </w:rPr>
              <w:t xml:space="preserve">1.2 Marco jurídico aplicable</w:t>
            </w:r>
          </w:p>
        </w:tc>
      </w:tr>
    </w:tbl>
    <w:p>
      <w:pPr>
        <w:spacing w:after="0" w:before="60"/>
      </w:pPr>
      <w:r>
        <w:rPr>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800"/>
        <w:gridCol w:w="6560"/>
      </w:tblGrid>
      <w:tr>
        <w:tc>
          <w:tcPr>
            <w:tcW w:type="dxa" w:w="2800"/>
            <w:tcBorders>
              <w:top w:val="single" w:color="2E5FA3" w:sz="4"/>
              <w:left w:val="single" w:color="2E5FA3" w:sz="4"/>
              <w:bottom w:val="single" w:color="2E5FA3" w:sz="4"/>
              <w:right w:val="single" w:color="2E5FA3" w:sz="4"/>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Norma / Fuente</w:t>
            </w:r>
          </w:p>
        </w:tc>
        <w:tc>
          <w:tcPr>
            <w:tcW w:type="dxa" w:w="6560"/>
            <w:tcBorders>
              <w:top w:val="single" w:color="2E5FA3" w:sz="4"/>
              <w:left w:val="single" w:color="2E5FA3" w:sz="4"/>
              <w:bottom w:val="single" w:color="2E5FA3" w:sz="4"/>
              <w:right w:val="single" w:color="2E5FA3" w:sz="4"/>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Contenido relevante</w:t>
            </w:r>
          </w:p>
        </w:tc>
      </w:tr>
      <w:tr>
        <w:tc>
          <w:tcPr>
            <w:tcW w:type="dxa" w:w="280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b/>
                <w:bCs/>
                <w:sz w:val="20"/>
                <w:szCs w:val="20"/>
              </w:rPr>
              <w:t xml:space="preserve">Art. 154 CC</w:t>
            </w:r>
          </w:p>
        </w:tc>
        <w:tc>
          <w:tcPr>
            <w:tcW w:type="dxa" w:w="656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sz w:val="20"/>
                <w:szCs w:val="20"/>
              </w:rPr>
              <w:t xml:space="preserve">Define la patria potestad como función tuitiva orientada al interés del menor.</w:t>
            </w:r>
          </w:p>
        </w:tc>
      </w:tr>
      <w:tr>
        <w:tc>
          <w:tcPr>
            <w:tcW w:type="dxa" w:w="2800"/>
            <w:tcBorders>
              <w:top w:val="single" w:color="CCCCCC" w:sz="4"/>
              <w:left w:val="single" w:color="CCCCCC" w:sz="4"/>
              <w:bottom w:val="single" w:color="CCCCCC" w:sz="4"/>
              <w:right w:val="single" w:color="CCCCCC" w:sz="4"/>
            </w:tcBorders>
            <w:shd w:fill="F2F2F2" w:val="clear"/>
            <w:tcMar>
              <w:top w:type="dxa" w:w="80"/>
              <w:left w:type="dxa" w:w="120"/>
              <w:bottom w:type="dxa" w:w="80"/>
              <w:right w:type="dxa" w:w="120"/>
            </w:tcMar>
          </w:tcPr>
          <w:p>
            <w:r>
              <w:rPr>
                <w:rFonts w:ascii="Arial" w:cs="Arial" w:eastAsia="Arial" w:hAnsi="Arial"/>
                <w:b/>
                <w:bCs/>
                <w:sz w:val="20"/>
                <w:szCs w:val="20"/>
              </w:rPr>
              <w:t xml:space="preserve">Art. 156 CC</w:t>
            </w:r>
          </w:p>
        </w:tc>
        <w:tc>
          <w:tcPr>
            <w:tcW w:type="dxa" w:w="6560"/>
            <w:tcBorders>
              <w:top w:val="single" w:color="CCCCCC" w:sz="4"/>
              <w:left w:val="single" w:color="CCCCCC" w:sz="4"/>
              <w:bottom w:val="single" w:color="CCCCCC" w:sz="4"/>
              <w:right w:val="single" w:color="CCCCCC" w:sz="4"/>
            </w:tcBorders>
            <w:shd w:fill="F2F2F2" w:val="clear"/>
            <w:tcMar>
              <w:top w:type="dxa" w:w="80"/>
              <w:left w:type="dxa" w:w="120"/>
              <w:bottom w:type="dxa" w:w="80"/>
              <w:right w:type="dxa" w:w="120"/>
            </w:tcMar>
          </w:tcPr>
          <w:p>
            <w:r>
              <w:rPr>
                <w:rFonts w:ascii="Arial" w:cs="Arial" w:eastAsia="Arial" w:hAnsi="Arial"/>
                <w:sz w:val="20"/>
                <w:szCs w:val="20"/>
              </w:rPr>
              <w:t xml:space="preserve">Establece el ejercicio conjunto. Ante desacuerdo, cualquier progenitor puede instar al juez a atribuir la decisión a uno de ellos.</w:t>
            </w:r>
          </w:p>
        </w:tc>
      </w:tr>
      <w:tr>
        <w:tc>
          <w:tcPr>
            <w:tcW w:type="dxa" w:w="280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b/>
                <w:bCs/>
                <w:sz w:val="20"/>
                <w:szCs w:val="20"/>
              </w:rPr>
              <w:t xml:space="preserve">Art. 16 CE</w:t>
            </w:r>
          </w:p>
        </w:tc>
        <w:tc>
          <w:tcPr>
            <w:tcW w:type="dxa" w:w="656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sz w:val="20"/>
                <w:szCs w:val="20"/>
              </w:rPr>
              <w:t xml:space="preserve">Libertad religiosa. Protege tanto a los progenitores como al propio menor.</w:t>
            </w:r>
          </w:p>
        </w:tc>
      </w:tr>
      <w:tr>
        <w:tc>
          <w:tcPr>
            <w:tcW w:type="dxa" w:w="2800"/>
            <w:tcBorders>
              <w:top w:val="single" w:color="CCCCCC" w:sz="4"/>
              <w:left w:val="single" w:color="CCCCCC" w:sz="4"/>
              <w:bottom w:val="single" w:color="CCCCCC" w:sz="4"/>
              <w:right w:val="single" w:color="CCCCCC" w:sz="4"/>
            </w:tcBorders>
            <w:shd w:fill="F2F2F2" w:val="clear"/>
            <w:tcMar>
              <w:top w:type="dxa" w:w="80"/>
              <w:left w:type="dxa" w:w="120"/>
              <w:bottom w:type="dxa" w:w="80"/>
              <w:right w:type="dxa" w:w="120"/>
            </w:tcMar>
          </w:tcPr>
          <w:p>
            <w:r>
              <w:rPr>
                <w:rFonts w:ascii="Arial" w:cs="Arial" w:eastAsia="Arial" w:hAnsi="Arial"/>
                <w:b/>
                <w:bCs/>
                <w:sz w:val="20"/>
                <w:szCs w:val="20"/>
              </w:rPr>
              <w:t xml:space="preserve">Art. 27.3 CE</w:t>
            </w:r>
          </w:p>
        </w:tc>
        <w:tc>
          <w:tcPr>
            <w:tcW w:type="dxa" w:w="6560"/>
            <w:tcBorders>
              <w:top w:val="single" w:color="CCCCCC" w:sz="4"/>
              <w:left w:val="single" w:color="CCCCCC" w:sz="4"/>
              <w:bottom w:val="single" w:color="CCCCCC" w:sz="4"/>
              <w:right w:val="single" w:color="CCCCCC" w:sz="4"/>
            </w:tcBorders>
            <w:shd w:fill="F2F2F2" w:val="clear"/>
            <w:tcMar>
              <w:top w:type="dxa" w:w="80"/>
              <w:left w:type="dxa" w:w="120"/>
              <w:bottom w:type="dxa" w:w="80"/>
              <w:right w:type="dxa" w:w="120"/>
            </w:tcMar>
          </w:tcPr>
          <w:p>
            <w:r>
              <w:rPr>
                <w:rFonts w:ascii="Arial" w:cs="Arial" w:eastAsia="Arial" w:hAnsi="Arial"/>
                <w:sz w:val="20"/>
                <w:szCs w:val="20"/>
              </w:rPr>
              <w:t xml:space="preserve">Derecho de los padres a que sus hijos reciban formación religiosa y moral conforme a sus convicciones.</w:t>
            </w:r>
          </w:p>
        </w:tc>
      </w:tr>
      <w:tr>
        <w:tc>
          <w:tcPr>
            <w:tcW w:type="dxa" w:w="280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b/>
                <w:bCs/>
                <w:sz w:val="20"/>
                <w:szCs w:val="20"/>
              </w:rPr>
              <w:t xml:space="preserve">Art. 2 LOPJM</w:t>
            </w:r>
          </w:p>
        </w:tc>
        <w:tc>
          <w:tcPr>
            <w:tcW w:type="dxa" w:w="656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sz w:val="20"/>
                <w:szCs w:val="20"/>
              </w:rPr>
              <w:t xml:space="preserve">Interés superior del menor como criterio rector de toda decisión que le afecte.</w:t>
            </w:r>
          </w:p>
        </w:tc>
      </w:tr>
      <w:tr>
        <w:tc>
          <w:tcPr>
            <w:tcW w:type="dxa" w:w="2800"/>
            <w:tcBorders>
              <w:top w:val="single" w:color="CCCCCC" w:sz="4"/>
              <w:left w:val="single" w:color="CCCCCC" w:sz="4"/>
              <w:bottom w:val="single" w:color="CCCCCC" w:sz="4"/>
              <w:right w:val="single" w:color="CCCCCC" w:sz="4"/>
            </w:tcBorders>
            <w:shd w:fill="F2F2F2" w:val="clear"/>
            <w:tcMar>
              <w:top w:type="dxa" w:w="80"/>
              <w:left w:type="dxa" w:w="120"/>
              <w:bottom w:type="dxa" w:w="80"/>
              <w:right w:type="dxa" w:w="120"/>
            </w:tcMar>
          </w:tcPr>
          <w:p>
            <w:r>
              <w:rPr>
                <w:rFonts w:ascii="Arial" w:cs="Arial" w:eastAsia="Arial" w:hAnsi="Arial"/>
                <w:b/>
                <w:bCs/>
                <w:sz w:val="20"/>
                <w:szCs w:val="20"/>
              </w:rPr>
              <w:t xml:space="preserve">Art. 9 LOPJM</w:t>
            </w:r>
          </w:p>
        </w:tc>
        <w:tc>
          <w:tcPr>
            <w:tcW w:type="dxa" w:w="6560"/>
            <w:tcBorders>
              <w:top w:val="single" w:color="CCCCCC" w:sz="4"/>
              <w:left w:val="single" w:color="CCCCCC" w:sz="4"/>
              <w:bottom w:val="single" w:color="CCCCCC" w:sz="4"/>
              <w:right w:val="single" w:color="CCCCCC" w:sz="4"/>
            </w:tcBorders>
            <w:shd w:fill="F2F2F2" w:val="clear"/>
            <w:tcMar>
              <w:top w:type="dxa" w:w="80"/>
              <w:left w:type="dxa" w:w="120"/>
              <w:bottom w:type="dxa" w:w="80"/>
              <w:right w:type="dxa" w:w="120"/>
            </w:tcMar>
          </w:tcPr>
          <w:p>
            <w:r>
              <w:rPr>
                <w:rFonts w:ascii="Arial" w:cs="Arial" w:eastAsia="Arial" w:hAnsi="Arial"/>
                <w:sz w:val="20"/>
                <w:szCs w:val="20"/>
              </w:rPr>
              <w:t xml:space="preserve">Derecho del menor a ser escuchado en los asuntos que le afecten, según su madurez.</w:t>
            </w:r>
          </w:p>
        </w:tc>
      </w:tr>
      <w:tr>
        <w:tc>
          <w:tcPr>
            <w:tcW w:type="dxa" w:w="280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b/>
                <w:bCs/>
                <w:sz w:val="20"/>
                <w:szCs w:val="20"/>
              </w:rPr>
              <w:t xml:space="preserve">STS 465/2015, 9-sep</w:t>
            </w:r>
          </w:p>
        </w:tc>
        <w:tc>
          <w:tcPr>
            <w:tcW w:type="dxa" w:w="656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sz w:val="20"/>
                <w:szCs w:val="20"/>
              </w:rPr>
              <w:t xml:space="preserve">Las celebraciones religiosas de relevancia (bautismo, Primera Comunión) forman parte de la patria potestad y requieren acuerdo de ambos progenitores.</w:t>
            </w:r>
          </w:p>
        </w:tc>
      </w:tr>
      <w:tr>
        <w:tc>
          <w:tcPr>
            <w:tcW w:type="dxa" w:w="2800"/>
            <w:tcBorders>
              <w:top w:val="single" w:color="CCCCCC" w:sz="4"/>
              <w:left w:val="single" w:color="CCCCCC" w:sz="4"/>
              <w:bottom w:val="single" w:color="CCCCCC" w:sz="4"/>
              <w:right w:val="single" w:color="CCCCCC" w:sz="4"/>
            </w:tcBorders>
            <w:shd w:fill="F2F2F2" w:val="clear"/>
            <w:tcMar>
              <w:top w:type="dxa" w:w="80"/>
              <w:left w:type="dxa" w:w="120"/>
              <w:bottom w:type="dxa" w:w="80"/>
              <w:right w:type="dxa" w:w="120"/>
            </w:tcMar>
          </w:tcPr>
          <w:p>
            <w:r>
              <w:rPr>
                <w:rFonts w:ascii="Arial" w:cs="Arial" w:eastAsia="Arial" w:hAnsi="Arial"/>
                <w:b/>
                <w:bCs/>
                <w:sz w:val="20"/>
                <w:szCs w:val="20"/>
              </w:rPr>
              <w:t xml:space="preserve">Art. 14 CDN</w:t>
            </w:r>
          </w:p>
        </w:tc>
        <w:tc>
          <w:tcPr>
            <w:tcW w:type="dxa" w:w="6560"/>
            <w:tcBorders>
              <w:top w:val="single" w:color="CCCCCC" w:sz="4"/>
              <w:left w:val="single" w:color="CCCCCC" w:sz="4"/>
              <w:bottom w:val="single" w:color="CCCCCC" w:sz="4"/>
              <w:right w:val="single" w:color="CCCCCC" w:sz="4"/>
            </w:tcBorders>
            <w:shd w:fill="F2F2F2" w:val="clear"/>
            <w:tcMar>
              <w:top w:type="dxa" w:w="80"/>
              <w:left w:type="dxa" w:w="120"/>
              <w:bottom w:type="dxa" w:w="80"/>
              <w:right w:type="dxa" w:w="120"/>
            </w:tcMar>
          </w:tcPr>
          <w:p>
            <w:r>
              <w:rPr>
                <w:rFonts w:ascii="Arial" w:cs="Arial" w:eastAsia="Arial" w:hAnsi="Arial"/>
                <w:sz w:val="20"/>
                <w:szCs w:val="20"/>
              </w:rPr>
              <w:t xml:space="preserve">Derecho del niño a la libertad de pensamiento, conciencia y religión, con función de guía de los padres.</w:t>
            </w:r>
          </w:p>
        </w:tc>
      </w:tr>
    </w:tbl>
    <w:p>
      <w:pPr>
        <w:spacing w:after="0" w:before="60"/>
      </w:pPr>
      <w:r>
        <w:rPr>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none" w:color="FFFFFF" w:sz="0"/>
              <w:left w:val="none" w:color="FFFFFF" w:sz="0"/>
              <w:bottom w:val="none" w:color="FFFFFF" w:sz="0"/>
              <w:right w:val="none" w:color="FFFFFF" w:sz="0"/>
            </w:tcBorders>
            <w:shd w:fill="2E5FA3" w:val="clear"/>
            <w:tcMar>
              <w:top w:type="dxa" w:w="120"/>
              <w:left w:type="dxa" w:w="200"/>
              <w:bottom w:type="dxa" w:w="120"/>
              <w:right w:type="dxa" w:w="200"/>
            </w:tcMar>
          </w:tcPr>
          <w:p>
            <w:pPr>
              <w:jc w:val="left"/>
            </w:pPr>
            <w:r>
              <w:rPr>
                <w:rFonts w:ascii="Arial" w:cs="Arial" w:eastAsia="Arial" w:hAnsi="Arial"/>
                <w:b/>
                <w:bCs/>
                <w:color w:val="FFFFFF"/>
                <w:sz w:val="26"/>
                <w:szCs w:val="26"/>
              </w:rPr>
              <w:t xml:space="preserve">1.3 Valoración de la posición de la madre</w:t>
            </w:r>
          </w:p>
        </w:tc>
      </w:tr>
    </w:tbl>
    <w:p>
      <w:pPr>
        <w:spacing w:after="0" w:before="60"/>
      </w:pPr>
      <w:r>
        <w:rPr>
          <w:sz w:val="22"/>
          <w:szCs w:val="22"/>
        </w:rPr>
        <w:t xml:space="preserve"/>
      </w:r>
    </w:p>
    <w:p>
      <w:pPr>
        <w:spacing w:after="60" w:before="60"/>
        <w:jc w:val="both"/>
      </w:pPr>
      <w:r>
        <w:rPr>
          <w:rFonts w:ascii="Arial" w:cs="Arial" w:eastAsia="Arial" w:hAnsi="Arial"/>
          <w:sz w:val="22"/>
          <w:szCs w:val="22"/>
        </w:rPr>
        <w:t xml:space="preserve">Desde la perspectiva de la representación de la madre, la situación presenta los siguientes elementos favorables y adversos:</w:t>
      </w:r>
    </w:p>
    <w:p>
      <w:pPr>
        <w:spacing w:after="0" w:before="60"/>
      </w:pPr>
      <w:r>
        <w:rPr>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single" w:color="1E7145" w:sz="4"/>
              <w:left w:val="single" w:color="1E7145" w:sz="4"/>
              <w:bottom w:val="single" w:color="1E7145" w:sz="4"/>
              <w:right w:val="single" w:color="1E7145" w:sz="4"/>
            </w:tcBorders>
            <w:shd w:fill="1E7145" w:val="clear"/>
            <w:tcMar>
              <w:top w:type="dxa" w:w="80"/>
              <w:left w:type="dxa" w:w="120"/>
              <w:bottom w:type="dxa" w:w="80"/>
              <w:right w:type="dxa" w:w="120"/>
            </w:tcMar>
          </w:tcPr>
          <w:p>
            <w:r>
              <w:rPr>
                <w:rFonts w:ascii="Arial" w:cs="Arial" w:eastAsia="Arial" w:hAnsi="Arial"/>
                <w:b/>
                <w:bCs/>
                <w:color w:val="FFFFFF"/>
                <w:sz w:val="21"/>
                <w:szCs w:val="21"/>
              </w:rPr>
              <w:t xml:space="preserve">FACTORES FAVORABLES</w:t>
            </w:r>
          </w:p>
        </w:tc>
        <w:tc>
          <w:tcPr>
            <w:tcW w:type="dxa" w:w="4680"/>
            <w:tcBorders>
              <w:top w:val="single" w:color="C00000" w:sz="4"/>
              <w:left w:val="single" w:color="C00000" w:sz="4"/>
              <w:bottom w:val="single" w:color="C00000" w:sz="4"/>
              <w:right w:val="single" w:color="C00000" w:sz="4"/>
            </w:tcBorders>
            <w:shd w:fill="C00000" w:val="clear"/>
            <w:tcMar>
              <w:top w:type="dxa" w:w="80"/>
              <w:left w:type="dxa" w:w="120"/>
              <w:bottom w:type="dxa" w:w="80"/>
              <w:right w:type="dxa" w:w="120"/>
            </w:tcMar>
          </w:tcPr>
          <w:p>
            <w:r>
              <w:rPr>
                <w:rFonts w:ascii="Arial" w:cs="Arial" w:eastAsia="Arial" w:hAnsi="Arial"/>
                <w:b/>
                <w:bCs/>
                <w:color w:val="FFFFFF"/>
                <w:sz w:val="21"/>
                <w:szCs w:val="21"/>
              </w:rPr>
              <w:t xml:space="preserve">FACTORES ADVERSOS</w:t>
            </w:r>
          </w:p>
        </w:tc>
      </w:tr>
      <w:tr>
        <w:tc>
          <w:tcPr>
            <w:tcW w:type="dxa" w:w="4680"/>
            <w:tcBorders>
              <w:top w:val="single" w:color="AAAAAA" w:sz="4"/>
              <w:left w:val="single" w:color="AAAAAA" w:sz="4"/>
              <w:bottom w:val="single" w:color="AAAAAA" w:sz="4"/>
              <w:right w:val="single" w:color="AAAAAA" w:sz="4"/>
            </w:tcBorders>
            <w:shd w:fill="F0FAF0" w:val="clear"/>
            <w:tcMar>
              <w:top w:type="dxa" w:w="100"/>
              <w:left w:type="dxa" w:w="120"/>
              <w:bottom w:type="dxa" w:w="100"/>
              <w:right w:type="dxa" w:w="120"/>
            </w:tcMar>
            <w:vAlign w:val="top"/>
          </w:tcPr>
          <w:p>
            <w:pPr>
              <w:pStyle w:val="ListParagraph"/>
              <w:numPr>
                <w:ilvl w:val="0"/>
                <w:numId w:val="2"/>
              </w:numPr>
              <w:spacing w:after="40" w:before="40"/>
            </w:pPr>
            <w:r>
              <w:rPr>
                <w:rFonts w:ascii="Arial" w:cs="Arial" w:eastAsia="Arial" w:hAnsi="Arial"/>
                <w:sz w:val="22"/>
                <w:szCs w:val="22"/>
              </w:rPr>
              <w:t xml:space="preserve">Catequesis en curso: interrumpir el proceso podría perjudicar al menor (criterio jurisprudencial).</w:t>
            </w:r>
          </w:p>
          <w:p>
            <w:pPr>
              <w:pStyle w:val="ListParagraph"/>
              <w:numPr>
                <w:ilvl w:val="0"/>
                <w:numId w:val="2"/>
              </w:numPr>
              <w:spacing w:after="40" w:before="40"/>
            </w:pPr>
            <w:r>
              <w:rPr>
                <w:rFonts w:ascii="Arial" w:cs="Arial" w:eastAsia="Arial" w:hAnsi="Arial"/>
                <w:sz w:val="22"/>
                <w:szCs w:val="22"/>
              </w:rPr>
              <w:t xml:space="preserve">Deseo del propio menor: a los 9 años el juez explorará su opinión; si el niño quiere hacer la comunión, este factor es determinante.</w:t>
            </w:r>
          </w:p>
          <w:p>
            <w:pPr>
              <w:pStyle w:val="ListParagraph"/>
              <w:numPr>
                <w:ilvl w:val="0"/>
                <w:numId w:val="2"/>
              </w:numPr>
              <w:spacing w:after="40" w:before="40"/>
            </w:pPr>
            <w:r>
              <w:rPr>
                <w:rFonts w:ascii="Arial" w:cs="Arial" w:eastAsia="Arial" w:hAnsi="Arial"/>
                <w:sz w:val="22"/>
                <w:szCs w:val="22"/>
              </w:rPr>
              <w:t xml:space="preserve">Entorno familiar y social: si el círculo del menor participa mayoritariamente en este sacramento, la negativa del padre puede verse como contraria al interés del hijo.</w:t>
            </w:r>
          </w:p>
          <w:p>
            <w:pPr>
              <w:pStyle w:val="ListParagraph"/>
              <w:numPr>
                <w:ilvl w:val="0"/>
                <w:numId w:val="2"/>
              </w:numPr>
              <w:spacing w:after="40" w:before="40"/>
            </w:pPr>
            <w:r>
              <w:rPr>
                <w:rFonts w:ascii="Arial" w:cs="Arial" w:eastAsia="Arial" w:hAnsi="Arial"/>
                <w:sz w:val="22"/>
                <w:szCs w:val="22"/>
              </w:rPr>
              <w:t xml:space="preserve">Posible acuerdo tácito previo o ausencia de oposición expresa anterior.</w:t>
            </w:r>
          </w:p>
          <w:p>
            <w:pPr>
              <w:pStyle w:val="ListParagraph"/>
              <w:numPr>
                <w:ilvl w:val="0"/>
                <w:numId w:val="2"/>
              </w:numPr>
              <w:spacing w:after="40" w:before="40"/>
            </w:pPr>
            <w:r>
              <w:rPr>
                <w:rFonts w:ascii="Arial" w:cs="Arial" w:eastAsia="Arial" w:hAnsi="Arial"/>
                <w:sz w:val="22"/>
                <w:szCs w:val="22"/>
              </w:rPr>
              <w:t xml:space="preserve">La catequesis tiene también contenido educativo y social, no exclusivamente sacramental.</w:t>
            </w:r>
          </w:p>
        </w:tc>
        <w:tc>
          <w:tcPr>
            <w:tcW w:type="dxa" w:w="4680"/>
            <w:tcBorders>
              <w:top w:val="single" w:color="AAAAAA" w:sz="4"/>
              <w:left w:val="single" w:color="AAAAAA" w:sz="4"/>
              <w:bottom w:val="single" w:color="AAAAAA" w:sz="4"/>
              <w:right w:val="single" w:color="AAAAAA" w:sz="4"/>
            </w:tcBorders>
            <w:shd w:fill="FFF0F0" w:val="clear"/>
            <w:tcMar>
              <w:top w:type="dxa" w:w="100"/>
              <w:left w:type="dxa" w:w="120"/>
              <w:bottom w:type="dxa" w:w="100"/>
              <w:right w:type="dxa" w:w="120"/>
            </w:tcMar>
            <w:vAlign w:val="top"/>
          </w:tcPr>
          <w:p>
            <w:pPr>
              <w:pStyle w:val="ListParagraph"/>
              <w:numPr>
                <w:ilvl w:val="0"/>
                <w:numId w:val="2"/>
              </w:numPr>
              <w:spacing w:after="40" w:before="40"/>
            </w:pPr>
            <w:r>
              <w:rPr>
                <w:rFonts w:ascii="Arial" w:cs="Arial" w:eastAsia="Arial" w:hAnsi="Arial"/>
                <w:sz w:val="22"/>
                <w:szCs w:val="22"/>
              </w:rPr>
              <w:t xml:space="preserve">Ha actuado unilateralmente en materia que requiere acuerdo conjunto: vulneración formal del art. 156 CC.</w:t>
            </w:r>
          </w:p>
          <w:p>
            <w:pPr>
              <w:pStyle w:val="ListParagraph"/>
              <w:numPr>
                <w:ilvl w:val="0"/>
                <w:numId w:val="2"/>
              </w:numPr>
              <w:spacing w:after="40" w:before="40"/>
            </w:pPr>
            <w:r>
              <w:rPr>
                <w:rFonts w:ascii="Arial" w:cs="Arial" w:eastAsia="Arial" w:hAnsi="Arial"/>
                <w:sz w:val="22"/>
                <w:szCs w:val="22"/>
              </w:rPr>
              <w:t xml:space="preserve">La jurisprudencia (STS 465/2015) es clara: la Primera Comunión es acto de patria potestad, no acto ordinario.</w:t>
            </w:r>
          </w:p>
          <w:p>
            <w:pPr>
              <w:pStyle w:val="ListParagraph"/>
              <w:numPr>
                <w:ilvl w:val="0"/>
                <w:numId w:val="2"/>
              </w:numPr>
              <w:spacing w:after="40" w:before="40"/>
            </w:pPr>
            <w:r>
              <w:rPr>
                <w:rFonts w:ascii="Arial" w:cs="Arial" w:eastAsia="Arial" w:hAnsi="Arial"/>
                <w:sz w:val="22"/>
                <w:szCs w:val="22"/>
              </w:rPr>
              <w:t xml:space="preserve">Ausencia de comunicación previa al padre: dificulta alegar acuerdo tácito.</w:t>
            </w:r>
          </w:p>
          <w:p>
            <w:pPr>
              <w:pStyle w:val="ListParagraph"/>
              <w:numPr>
                <w:ilvl w:val="0"/>
                <w:numId w:val="2"/>
              </w:numPr>
              <w:spacing w:after="40" w:before="40"/>
            </w:pPr>
            <w:r>
              <w:rPr>
                <w:rFonts w:ascii="Arial" w:cs="Arial" w:eastAsia="Arial" w:hAnsi="Arial"/>
                <w:sz w:val="22"/>
                <w:szCs w:val="22"/>
              </w:rPr>
              <w:t xml:space="preserve">El sacramento es irreversible: el juez valorará con mayor cautela los actos irreversibles.</w:t>
            </w:r>
          </w:p>
        </w:tc>
      </w:tr>
    </w:tbl>
    <w:p>
      <w:pPr>
        <w:spacing w:after="0" w:before="60"/>
      </w:pPr>
      <w:r>
        <w:rPr>
          <w:sz w:val="22"/>
          <w:szCs w:val="22"/>
        </w:rPr>
        <w:t xml:space="preserve"/>
      </w:r>
    </w:p>
    <w:p>
      <w:r>
        <w:br w:type="page"/>
      </w:r>
    </w:p>
    <w:p>
      <w:pPr>
        <w:pStyle w:val="Heading1"/>
        <w:spacing w:after="160" w:before="360"/>
      </w:pPr>
      <w:r>
        <w:rPr>
          <w:rFonts w:ascii="Arial" w:cs="Arial" w:eastAsia="Arial" w:hAnsi="Arial"/>
          <w:b/>
          <w:bCs/>
          <w:color w:val="1F4E79"/>
          <w:sz w:val="32"/>
          <w:szCs w:val="32"/>
        </w:rPr>
        <w:t xml:space="preserve">II. MAPA DE ESCENARIOS Y PLANES DE ACCIÓN</w:t>
      </w:r>
    </w:p>
    <w:p>
      <w:pPr>
        <w:pBdr>
          <w:bottom w:val="single" w:color="2E5FA3" w:sz="6" w:space="1"/>
        </w:pBdr>
        <w:spacing w:after="120" w:before="120"/>
      </w:pPr>
      <w:r>
        <w:t xml:space="preserve"/>
      </w:r>
    </w:p>
    <w:p>
      <w:pPr>
        <w:spacing w:after="0" w:before="60"/>
      </w:pPr>
      <w:r>
        <w:rPr>
          <w:sz w:val="22"/>
          <w:szCs w:val="22"/>
        </w:rPr>
        <w:t xml:space="preserve"/>
      </w:r>
    </w:p>
    <w:p>
      <w:pPr>
        <w:spacing w:after="60" w:before="60"/>
        <w:jc w:val="both"/>
      </w:pPr>
      <w:r>
        <w:rPr>
          <w:rFonts w:ascii="Arial" w:cs="Arial" w:eastAsia="Arial" w:hAnsi="Arial"/>
          <w:sz w:val="22"/>
          <w:szCs w:val="22"/>
        </w:rPr>
        <w:t xml:space="preserve">El conflicto puede evolucionar por cuatro vías principales. La estrategia óptima para la madre pasa por intentar resolver el conflicto en los escenarios de menor confrontación, reservando la judicialización como último recurso —si bien debe estar preparada para ella desde el primer momento.</w:t>
      </w:r>
    </w:p>
    <w:p>
      <w:pPr>
        <w:spacing w:after="0" w:before="60"/>
      </w:pPr>
      <w:r>
        <w:rPr>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440"/>
        <w:gridCol w:w="2880"/>
        <w:gridCol w:w="2520"/>
        <w:gridCol w:w="2520"/>
      </w:tblGrid>
      <w:tr>
        <w:tc>
          <w:tcPr>
            <w:tcBorders>
              <w:top w:val="single" w:color="2E5FA3" w:sz="4"/>
              <w:left w:val="single" w:color="2E5FA3" w:sz="4"/>
              <w:bottom w:val="single" w:color="2E5FA3" w:sz="4"/>
              <w:right w:val="single" w:color="2E5FA3" w:sz="4"/>
            </w:tcBorders>
            <w:shd w:fill="1F4E79" w:val="clear"/>
            <w:tcMar>
              <w:top w:type="dxa" w:w="80"/>
              <w:left w:type="dxa" w:w="100"/>
              <w:bottom w:type="dxa" w:w="80"/>
              <w:right w:type="dxa" w:w="100"/>
            </w:tcMar>
          </w:tcPr>
          <w:p>
            <w:pPr>
              <w:jc w:val="center"/>
            </w:pPr>
            <w:r>
              <w:rPr>
                <w:rFonts w:ascii="Arial" w:cs="Arial" w:eastAsia="Arial" w:hAnsi="Arial"/>
                <w:b/>
                <w:bCs/>
                <w:color w:val="FFFFFF"/>
                <w:sz w:val="19"/>
                <w:szCs w:val="19"/>
              </w:rPr>
              <w:t xml:space="preserve">Escenario</w:t>
            </w:r>
          </w:p>
        </w:tc>
        <w:tc>
          <w:tcPr>
            <w:tcBorders>
              <w:top w:val="single" w:color="2E5FA3" w:sz="4"/>
              <w:left w:val="single" w:color="2E5FA3" w:sz="4"/>
              <w:bottom w:val="single" w:color="2E5FA3" w:sz="4"/>
              <w:right w:val="single" w:color="2E5FA3" w:sz="4"/>
            </w:tcBorders>
            <w:shd w:fill="1F4E79" w:val="clear"/>
            <w:tcMar>
              <w:top w:type="dxa" w:w="80"/>
              <w:left w:type="dxa" w:w="100"/>
              <w:bottom w:type="dxa" w:w="80"/>
              <w:right w:type="dxa" w:w="100"/>
            </w:tcMar>
          </w:tcPr>
          <w:p>
            <w:pPr>
              <w:jc w:val="center"/>
            </w:pPr>
            <w:r>
              <w:rPr>
                <w:rFonts w:ascii="Arial" w:cs="Arial" w:eastAsia="Arial" w:hAnsi="Arial"/>
                <w:b/>
                <w:bCs/>
                <w:color w:val="FFFFFF"/>
                <w:sz w:val="19"/>
                <w:szCs w:val="19"/>
              </w:rPr>
              <w:t xml:space="preserve">Denominación</w:t>
            </w:r>
          </w:p>
        </w:tc>
        <w:tc>
          <w:tcPr>
            <w:tcBorders>
              <w:top w:val="single" w:color="2E5FA3" w:sz="4"/>
              <w:left w:val="single" w:color="2E5FA3" w:sz="4"/>
              <w:bottom w:val="single" w:color="2E5FA3" w:sz="4"/>
              <w:right w:val="single" w:color="2E5FA3" w:sz="4"/>
            </w:tcBorders>
            <w:shd w:fill="1F4E79" w:val="clear"/>
            <w:tcMar>
              <w:top w:type="dxa" w:w="80"/>
              <w:left w:type="dxa" w:w="100"/>
              <w:bottom w:type="dxa" w:w="80"/>
              <w:right w:type="dxa" w:w="100"/>
            </w:tcMar>
          </w:tcPr>
          <w:p>
            <w:pPr>
              <w:jc w:val="center"/>
            </w:pPr>
            <w:r>
              <w:rPr>
                <w:rFonts w:ascii="Arial" w:cs="Arial" w:eastAsia="Arial" w:hAnsi="Arial"/>
                <w:b/>
                <w:bCs/>
                <w:color w:val="FFFFFF"/>
                <w:sz w:val="19"/>
                <w:szCs w:val="19"/>
              </w:rPr>
              <w:t xml:space="preserve">Probabilidad de éxito para la madre</w:t>
            </w:r>
          </w:p>
        </w:tc>
        <w:tc>
          <w:tcPr>
            <w:tcBorders>
              <w:top w:val="single" w:color="2E5FA3" w:sz="4"/>
              <w:left w:val="single" w:color="2E5FA3" w:sz="4"/>
              <w:bottom w:val="single" w:color="2E5FA3" w:sz="4"/>
              <w:right w:val="single" w:color="2E5FA3" w:sz="4"/>
            </w:tcBorders>
            <w:shd w:fill="1F4E79" w:val="clear"/>
            <w:tcMar>
              <w:top w:type="dxa" w:w="80"/>
              <w:left w:type="dxa" w:w="100"/>
              <w:bottom w:type="dxa" w:w="80"/>
              <w:right w:type="dxa" w:w="100"/>
            </w:tcMar>
          </w:tcPr>
          <w:p>
            <w:pPr>
              <w:jc w:val="center"/>
            </w:pPr>
            <w:r>
              <w:rPr>
                <w:rFonts w:ascii="Arial" w:cs="Arial" w:eastAsia="Arial" w:hAnsi="Arial"/>
                <w:b/>
                <w:bCs/>
                <w:color w:val="FFFFFF"/>
                <w:sz w:val="19"/>
                <w:szCs w:val="19"/>
              </w:rPr>
              <w:t xml:space="preserve">Urgencia / Plazo</w:t>
            </w:r>
          </w:p>
        </w:tc>
      </w:tr>
      <w:tr>
        <w:tc>
          <w:tcPr>
            <w:tcBorders>
              <w:top w:val="single" w:color="AAAAAA" w:sz="4"/>
              <w:left w:val="single" w:color="AAAAAA" w:sz="4"/>
              <w:bottom w:val="single" w:color="AAAAAA" w:sz="4"/>
              <w:right w:val="single" w:color="AAAAAA" w:sz="4"/>
            </w:tcBorders>
            <w:shd w:fill="F2F2F2" w:val="clear"/>
            <w:tcMar>
              <w:top w:type="dxa" w:w="70"/>
              <w:left w:type="dxa" w:w="100"/>
              <w:bottom w:type="dxa" w:w="70"/>
              <w:right w:type="dxa" w:w="100"/>
            </w:tcMar>
          </w:tcPr>
          <w:p>
            <w:pPr>
              <w:jc w:val="center"/>
            </w:pPr>
            <w:r>
              <w:rPr>
                <w:rFonts w:ascii="Arial" w:cs="Arial" w:eastAsia="Arial" w:hAnsi="Arial"/>
                <w:b/>
                <w:bCs/>
                <w:color w:val="2E5FA3"/>
                <w:sz w:val="20"/>
                <w:szCs w:val="20"/>
              </w:rPr>
              <w:t xml:space="preserve">A</w:t>
            </w:r>
          </w:p>
        </w:tc>
        <w:tc>
          <w:tcPr>
            <w:tcBorders>
              <w:top w:val="single" w:color="AAAAAA" w:sz="4"/>
              <w:left w:val="single" w:color="AAAAAA" w:sz="4"/>
              <w:bottom w:val="single" w:color="AAAAAA" w:sz="4"/>
              <w:right w:val="single" w:color="AAAAAA" w:sz="4"/>
            </w:tcBorders>
            <w:shd w:fill="F2F2F2" w:val="clear"/>
            <w:tcMar>
              <w:top w:type="dxa" w:w="70"/>
              <w:left w:type="dxa" w:w="100"/>
              <w:bottom w:type="dxa" w:w="70"/>
              <w:right w:type="dxa" w:w="100"/>
            </w:tcMar>
          </w:tcPr>
          <w:p>
            <w:r>
              <w:rPr>
                <w:rFonts w:ascii="Arial" w:cs="Arial" w:eastAsia="Arial" w:hAnsi="Arial"/>
                <w:sz w:val="19"/>
                <w:szCs w:val="19"/>
              </w:rPr>
              <w:t xml:space="preserve">Acuerdo negociado directo</w:t>
            </w:r>
          </w:p>
        </w:tc>
        <w:tc>
          <w:tcPr>
            <w:tcBorders>
              <w:top w:val="single" w:color="AAAAAA" w:sz="4"/>
              <w:left w:val="single" w:color="AAAAAA" w:sz="4"/>
              <w:bottom w:val="single" w:color="AAAAAA" w:sz="4"/>
              <w:right w:val="single" w:color="AAAAAA" w:sz="4"/>
            </w:tcBorders>
            <w:shd w:fill="F2F2F2" w:val="clear"/>
            <w:tcMar>
              <w:top w:type="dxa" w:w="70"/>
              <w:left w:type="dxa" w:w="100"/>
              <w:bottom w:type="dxa" w:w="70"/>
              <w:right w:type="dxa" w:w="100"/>
            </w:tcMar>
          </w:tcPr>
          <w:p>
            <w:r>
              <w:rPr>
                <w:rFonts w:ascii="Arial" w:cs="Arial" w:eastAsia="Arial" w:hAnsi="Arial"/>
                <w:sz w:val="19"/>
                <w:szCs w:val="19"/>
              </w:rPr>
              <w:t xml:space="preserve">Alta, si hay voluntad mutua</w:t>
            </w:r>
          </w:p>
        </w:tc>
        <w:tc>
          <w:tcPr>
            <w:tcBorders>
              <w:top w:val="single" w:color="AAAAAA" w:sz="4"/>
              <w:left w:val="single" w:color="AAAAAA" w:sz="4"/>
              <w:bottom w:val="single" w:color="AAAAAA" w:sz="4"/>
              <w:right w:val="single" w:color="AAAAAA" w:sz="4"/>
            </w:tcBorders>
            <w:shd w:fill="F2F2F2" w:val="clear"/>
            <w:tcMar>
              <w:top w:type="dxa" w:w="70"/>
              <w:left w:type="dxa" w:w="100"/>
              <w:bottom w:type="dxa" w:w="70"/>
              <w:right w:type="dxa" w:w="100"/>
            </w:tcMar>
          </w:tcPr>
          <w:p>
            <w:r>
              <w:rPr>
                <w:rFonts w:ascii="Arial" w:cs="Arial" w:eastAsia="Arial" w:hAnsi="Arial"/>
                <w:sz w:val="19"/>
                <w:szCs w:val="19"/>
              </w:rPr>
              <w:t xml:space="preserve">Inmediata — 10 días</w:t>
            </w:r>
          </w:p>
        </w:tc>
      </w:tr>
      <w:tr>
        <w:tc>
          <w:tcPr>
            <w:tcBorders>
              <w:top w:val="single" w:color="AAAAAA" w:sz="4"/>
              <w:left w:val="single" w:color="AAAAAA" w:sz="4"/>
              <w:bottom w:val="single" w:color="AAAAAA" w:sz="4"/>
              <w:right w:val="single" w:color="AAAAAA" w:sz="4"/>
            </w:tcBorders>
            <w:shd w:fill="FFFFFF" w:val="clear"/>
            <w:tcMar>
              <w:top w:type="dxa" w:w="70"/>
              <w:left w:type="dxa" w:w="100"/>
              <w:bottom w:type="dxa" w:w="70"/>
              <w:right w:type="dxa" w:w="100"/>
            </w:tcMar>
          </w:tcPr>
          <w:p>
            <w:pPr>
              <w:jc w:val="center"/>
            </w:pPr>
            <w:r>
              <w:rPr>
                <w:rFonts w:ascii="Arial" w:cs="Arial" w:eastAsia="Arial" w:hAnsi="Arial"/>
                <w:b/>
                <w:bCs/>
                <w:color w:val="2E5FA3"/>
                <w:sz w:val="20"/>
                <w:szCs w:val="20"/>
              </w:rPr>
              <w:t xml:space="preserve">B</w:t>
            </w:r>
          </w:p>
        </w:tc>
        <w:tc>
          <w:tcPr>
            <w:tcBorders>
              <w:top w:val="single" w:color="AAAAAA" w:sz="4"/>
              <w:left w:val="single" w:color="AAAAAA" w:sz="4"/>
              <w:bottom w:val="single" w:color="AAAAAA" w:sz="4"/>
              <w:right w:val="single" w:color="AAAAAA" w:sz="4"/>
            </w:tcBorders>
            <w:shd w:fill="FFFFFF" w:val="clear"/>
            <w:tcMar>
              <w:top w:type="dxa" w:w="70"/>
              <w:left w:type="dxa" w:w="100"/>
              <w:bottom w:type="dxa" w:w="70"/>
              <w:right w:type="dxa" w:w="100"/>
            </w:tcMar>
          </w:tcPr>
          <w:p>
            <w:r>
              <w:rPr>
                <w:rFonts w:ascii="Arial" w:cs="Arial" w:eastAsia="Arial" w:hAnsi="Arial"/>
                <w:sz w:val="19"/>
                <w:szCs w:val="19"/>
              </w:rPr>
              <w:t xml:space="preserve">Mediación familiar</w:t>
            </w:r>
          </w:p>
        </w:tc>
        <w:tc>
          <w:tcPr>
            <w:tcBorders>
              <w:top w:val="single" w:color="AAAAAA" w:sz="4"/>
              <w:left w:val="single" w:color="AAAAAA" w:sz="4"/>
              <w:bottom w:val="single" w:color="AAAAAA" w:sz="4"/>
              <w:right w:val="single" w:color="AAAAAA" w:sz="4"/>
            </w:tcBorders>
            <w:shd w:fill="FFFFFF" w:val="clear"/>
            <w:tcMar>
              <w:top w:type="dxa" w:w="70"/>
              <w:left w:type="dxa" w:w="100"/>
              <w:bottom w:type="dxa" w:w="70"/>
              <w:right w:type="dxa" w:w="100"/>
            </w:tcMar>
          </w:tcPr>
          <w:p>
            <w:r>
              <w:rPr>
                <w:rFonts w:ascii="Arial" w:cs="Arial" w:eastAsia="Arial" w:hAnsi="Arial"/>
                <w:sz w:val="19"/>
                <w:szCs w:val="19"/>
              </w:rPr>
              <w:t xml:space="preserve">Media-alta</w:t>
            </w:r>
          </w:p>
        </w:tc>
        <w:tc>
          <w:tcPr>
            <w:tcBorders>
              <w:top w:val="single" w:color="AAAAAA" w:sz="4"/>
              <w:left w:val="single" w:color="AAAAAA" w:sz="4"/>
              <w:bottom w:val="single" w:color="AAAAAA" w:sz="4"/>
              <w:right w:val="single" w:color="AAAAAA" w:sz="4"/>
            </w:tcBorders>
            <w:shd w:fill="FFFFFF" w:val="clear"/>
            <w:tcMar>
              <w:top w:type="dxa" w:w="70"/>
              <w:left w:type="dxa" w:w="100"/>
              <w:bottom w:type="dxa" w:w="70"/>
              <w:right w:type="dxa" w:w="100"/>
            </w:tcMar>
          </w:tcPr>
          <w:p>
            <w:r>
              <w:rPr>
                <w:rFonts w:ascii="Arial" w:cs="Arial" w:eastAsia="Arial" w:hAnsi="Arial"/>
                <w:sz w:val="19"/>
                <w:szCs w:val="19"/>
              </w:rPr>
              <w:t xml:space="preserve">Breve — antes de la comunión</w:t>
            </w:r>
          </w:p>
        </w:tc>
      </w:tr>
      <w:tr>
        <w:tc>
          <w:tcPr>
            <w:tcBorders>
              <w:top w:val="single" w:color="AAAAAA" w:sz="4"/>
              <w:left w:val="single" w:color="AAAAAA" w:sz="4"/>
              <w:bottom w:val="single" w:color="AAAAAA" w:sz="4"/>
              <w:right w:val="single" w:color="AAAAAA" w:sz="4"/>
            </w:tcBorders>
            <w:shd w:fill="F2F2F2" w:val="clear"/>
            <w:tcMar>
              <w:top w:type="dxa" w:w="70"/>
              <w:left w:type="dxa" w:w="100"/>
              <w:bottom w:type="dxa" w:w="70"/>
              <w:right w:type="dxa" w:w="100"/>
            </w:tcMar>
          </w:tcPr>
          <w:p>
            <w:pPr>
              <w:jc w:val="center"/>
            </w:pPr>
            <w:r>
              <w:rPr>
                <w:rFonts w:ascii="Arial" w:cs="Arial" w:eastAsia="Arial" w:hAnsi="Arial"/>
                <w:b/>
                <w:bCs/>
                <w:color w:val="2E5FA3"/>
                <w:sz w:val="20"/>
                <w:szCs w:val="20"/>
              </w:rPr>
              <w:t xml:space="preserve">C</w:t>
            </w:r>
          </w:p>
        </w:tc>
        <w:tc>
          <w:tcPr>
            <w:tcBorders>
              <w:top w:val="single" w:color="AAAAAA" w:sz="4"/>
              <w:left w:val="single" w:color="AAAAAA" w:sz="4"/>
              <w:bottom w:val="single" w:color="AAAAAA" w:sz="4"/>
              <w:right w:val="single" w:color="AAAAAA" w:sz="4"/>
            </w:tcBorders>
            <w:shd w:fill="F2F2F2" w:val="clear"/>
            <w:tcMar>
              <w:top w:type="dxa" w:w="70"/>
              <w:left w:type="dxa" w:w="100"/>
              <w:bottom w:type="dxa" w:w="70"/>
              <w:right w:type="dxa" w:w="100"/>
            </w:tcMar>
          </w:tcPr>
          <w:p>
            <w:r>
              <w:rPr>
                <w:rFonts w:ascii="Arial" w:cs="Arial" w:eastAsia="Arial" w:hAnsi="Arial"/>
                <w:sz w:val="19"/>
                <w:szCs w:val="19"/>
              </w:rPr>
              <w:t xml:space="preserve">Jurisdicción Voluntaria (art. 156 CC)</w:t>
            </w:r>
          </w:p>
        </w:tc>
        <w:tc>
          <w:tcPr>
            <w:tcBorders>
              <w:top w:val="single" w:color="AAAAAA" w:sz="4"/>
              <w:left w:val="single" w:color="AAAAAA" w:sz="4"/>
              <w:bottom w:val="single" w:color="AAAAAA" w:sz="4"/>
              <w:right w:val="single" w:color="AAAAAA" w:sz="4"/>
            </w:tcBorders>
            <w:shd w:fill="F2F2F2" w:val="clear"/>
            <w:tcMar>
              <w:top w:type="dxa" w:w="70"/>
              <w:left w:type="dxa" w:w="100"/>
              <w:bottom w:type="dxa" w:w="70"/>
              <w:right w:type="dxa" w:w="100"/>
            </w:tcMar>
          </w:tcPr>
          <w:p>
            <w:r>
              <w:rPr>
                <w:rFonts w:ascii="Arial" w:cs="Arial" w:eastAsia="Arial" w:hAnsi="Arial"/>
                <w:sz w:val="19"/>
                <w:szCs w:val="19"/>
              </w:rPr>
              <w:t xml:space="preserve">Media — depende del menor</w:t>
            </w:r>
          </w:p>
        </w:tc>
        <w:tc>
          <w:tcPr>
            <w:tcBorders>
              <w:top w:val="single" w:color="AAAAAA" w:sz="4"/>
              <w:left w:val="single" w:color="AAAAAA" w:sz="4"/>
              <w:bottom w:val="single" w:color="AAAAAA" w:sz="4"/>
              <w:right w:val="single" w:color="AAAAAA" w:sz="4"/>
            </w:tcBorders>
            <w:shd w:fill="F2F2F2" w:val="clear"/>
            <w:tcMar>
              <w:top w:type="dxa" w:w="70"/>
              <w:left w:type="dxa" w:w="100"/>
              <w:bottom w:type="dxa" w:w="70"/>
              <w:right w:type="dxa" w:w="100"/>
            </w:tcMar>
          </w:tcPr>
          <w:p>
            <w:r>
              <w:rPr>
                <w:rFonts w:ascii="Arial" w:cs="Arial" w:eastAsia="Arial" w:hAnsi="Arial"/>
                <w:sz w:val="19"/>
                <w:szCs w:val="19"/>
              </w:rPr>
              <w:t xml:space="preserve">Urgente si comunión próxima</w:t>
            </w:r>
          </w:p>
        </w:tc>
      </w:tr>
      <w:tr>
        <w:tc>
          <w:tcPr>
            <w:tcBorders>
              <w:top w:val="single" w:color="AAAAAA" w:sz="4"/>
              <w:left w:val="single" w:color="AAAAAA" w:sz="4"/>
              <w:bottom w:val="single" w:color="AAAAAA" w:sz="4"/>
              <w:right w:val="single" w:color="AAAAAA" w:sz="4"/>
            </w:tcBorders>
            <w:shd w:fill="FFFFFF" w:val="clear"/>
            <w:tcMar>
              <w:top w:type="dxa" w:w="70"/>
              <w:left w:type="dxa" w:w="100"/>
              <w:bottom w:type="dxa" w:w="70"/>
              <w:right w:type="dxa" w:w="100"/>
            </w:tcMar>
          </w:tcPr>
          <w:p>
            <w:pPr>
              <w:jc w:val="center"/>
            </w:pPr>
            <w:r>
              <w:rPr>
                <w:rFonts w:ascii="Arial" w:cs="Arial" w:eastAsia="Arial" w:hAnsi="Arial"/>
                <w:b/>
                <w:bCs/>
                <w:color w:val="2E5FA3"/>
                <w:sz w:val="20"/>
                <w:szCs w:val="20"/>
              </w:rPr>
              <w:t xml:space="preserve">D</w:t>
            </w:r>
          </w:p>
        </w:tc>
        <w:tc>
          <w:tcPr>
            <w:tcBorders>
              <w:top w:val="single" w:color="AAAAAA" w:sz="4"/>
              <w:left w:val="single" w:color="AAAAAA" w:sz="4"/>
              <w:bottom w:val="single" w:color="AAAAAA" w:sz="4"/>
              <w:right w:val="single" w:color="AAAAAA" w:sz="4"/>
            </w:tcBorders>
            <w:shd w:fill="FFFFFF" w:val="clear"/>
            <w:tcMar>
              <w:top w:type="dxa" w:w="70"/>
              <w:left w:type="dxa" w:w="100"/>
              <w:bottom w:type="dxa" w:w="70"/>
              <w:right w:type="dxa" w:w="100"/>
            </w:tcMar>
          </w:tcPr>
          <w:p>
            <w:r>
              <w:rPr>
                <w:rFonts w:ascii="Arial" w:cs="Arial" w:eastAsia="Arial" w:hAnsi="Arial"/>
                <w:sz w:val="19"/>
                <w:szCs w:val="19"/>
              </w:rPr>
              <w:t xml:space="preserve">Celebración unilateral de la comunión</w:t>
            </w:r>
          </w:p>
        </w:tc>
        <w:tc>
          <w:tcPr>
            <w:tcBorders>
              <w:top w:val="single" w:color="AAAAAA" w:sz="4"/>
              <w:left w:val="single" w:color="AAAAAA" w:sz="4"/>
              <w:bottom w:val="single" w:color="AAAAAA" w:sz="4"/>
              <w:right w:val="single" w:color="AAAAAA" w:sz="4"/>
            </w:tcBorders>
            <w:shd w:fill="FFFFFF" w:val="clear"/>
            <w:tcMar>
              <w:top w:type="dxa" w:w="70"/>
              <w:left w:type="dxa" w:w="100"/>
              <w:bottom w:type="dxa" w:w="70"/>
              <w:right w:type="dxa" w:w="100"/>
            </w:tcMar>
          </w:tcPr>
          <w:p>
            <w:r>
              <w:rPr>
                <w:rFonts w:ascii="Arial" w:cs="Arial" w:eastAsia="Arial" w:hAnsi="Arial"/>
                <w:sz w:val="19"/>
                <w:szCs w:val="19"/>
              </w:rPr>
              <w:t xml:space="preserve">Baja jurídicamente</w:t>
            </w:r>
          </w:p>
        </w:tc>
        <w:tc>
          <w:tcPr>
            <w:tcBorders>
              <w:top w:val="single" w:color="AAAAAA" w:sz="4"/>
              <w:left w:val="single" w:color="AAAAAA" w:sz="4"/>
              <w:bottom w:val="single" w:color="AAAAAA" w:sz="4"/>
              <w:right w:val="single" w:color="AAAAAA" w:sz="4"/>
            </w:tcBorders>
            <w:shd w:fill="FFFFFF" w:val="clear"/>
            <w:tcMar>
              <w:top w:type="dxa" w:w="70"/>
              <w:left w:type="dxa" w:w="100"/>
              <w:bottom w:type="dxa" w:w="70"/>
              <w:right w:type="dxa" w:w="100"/>
            </w:tcMar>
          </w:tcPr>
          <w:p>
            <w:r>
              <w:rPr>
                <w:rFonts w:ascii="Arial" w:cs="Arial" w:eastAsia="Arial" w:hAnsi="Arial"/>
                <w:sz w:val="19"/>
                <w:szCs w:val="19"/>
              </w:rPr>
              <w:t xml:space="preserve">Alto riesgo legal</w:t>
            </w:r>
          </w:p>
        </w:tc>
      </w:tr>
    </w:tbl>
    <w:p>
      <w:pPr>
        <w:spacing w:after="0" w:before="60"/>
      </w:pPr>
      <w:r>
        <w:rPr>
          <w:sz w:val="22"/>
          <w:szCs w:val="22"/>
        </w:rPr>
        <w:t xml:space="preserve"/>
      </w:r>
    </w:p>
    <w:p>
      <w:r>
        <w:br w:type="pag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none" w:color="FFFFFF" w:sz="0"/>
              <w:left w:val="none" w:color="FFFFFF" w:sz="0"/>
              <w:bottom w:val="none" w:color="FFFFFF" w:sz="0"/>
              <w:right w:val="none" w:color="FFFFFF" w:sz="0"/>
            </w:tcBorders>
            <w:shd w:fill="1E7145" w:val="clear"/>
            <w:tcMar>
              <w:top w:type="dxa" w:w="100"/>
              <w:left w:type="dxa" w:w="200"/>
              <w:bottom w:type="dxa" w:w="100"/>
              <w:right w:type="dxa" w:w="200"/>
            </w:tcMar>
          </w:tcPr>
          <w:p>
            <w:r>
              <w:rPr>
                <w:rFonts w:ascii="Arial" w:cs="Arial" w:eastAsia="Arial" w:hAnsi="Arial"/>
                <w:b/>
                <w:bCs/>
                <w:color w:val="FFFFFF"/>
                <w:sz w:val="24"/>
                <w:szCs w:val="24"/>
              </w:rPr>
              <w:t xml:space="preserve">ESCENARIO A: </w:t>
            </w:r>
            <w:r>
              <w:rPr>
                <w:rFonts w:ascii="Arial" w:cs="Arial" w:eastAsia="Arial" w:hAnsi="Arial"/>
                <w:b/>
                <w:bCs/>
                <w:color w:val="FFFFFF"/>
                <w:sz w:val="24"/>
                <w:szCs w:val="24"/>
              </w:rPr>
              <w:t xml:space="preserve">ACUERDO NEGOCIADO DIRECTO</w:t>
            </w:r>
          </w:p>
        </w:tc>
      </w:tr>
    </w:tbl>
    <w:p>
      <w:pPr>
        <w:spacing w:after="0" w:before="60"/>
      </w:pPr>
      <w:r>
        <w:rPr>
          <w:sz w:val="22"/>
          <w:szCs w:val="22"/>
        </w:rPr>
        <w:t xml:space="preserve"/>
      </w:r>
    </w:p>
    <w:p>
      <w:pPr>
        <w:spacing w:after="80" w:before="200"/>
      </w:pPr>
      <w:r>
        <w:rPr>
          <w:rFonts w:ascii="Arial" w:cs="Arial" w:eastAsia="Arial" w:hAnsi="Arial"/>
          <w:b/>
          <w:bCs/>
          <w:color w:val="1F3864"/>
          <w:sz w:val="24"/>
          <w:szCs w:val="24"/>
        </w:rPr>
        <w:t xml:space="preserve">Descripción del escenario</w:t>
      </w:r>
    </w:p>
    <w:p>
      <w:pPr>
        <w:spacing w:after="60" w:before="60"/>
        <w:jc w:val="left"/>
      </w:pPr>
      <w:r>
        <w:rPr>
          <w:rFonts w:ascii="Arial" w:cs="Arial" w:eastAsia="Arial" w:hAnsi="Arial"/>
          <w:sz w:val="22"/>
          <w:szCs w:val="22"/>
        </w:rPr>
        <w:t xml:space="preserve">El letrado de la madre responde al burofax dentro del plazo de 10 días, reconociendo la titularidad conjunta de la patria potestad y proponiendo una reunión o intercambio de comunicaciones para llegar a un acuerdo expreso sobre la formación religiosa del menor.</w:t>
      </w:r>
    </w:p>
    <w:p>
      <w:pPr>
        <w:spacing w:after="0" w:before="60"/>
      </w:pPr>
      <w:r>
        <w:rPr>
          <w:sz w:val="22"/>
          <w:szCs w:val="22"/>
        </w:rPr>
        <w:t xml:space="preserve"/>
      </w:r>
    </w:p>
    <w:p>
      <w:pPr>
        <w:spacing w:after="80" w:before="200"/>
      </w:pPr>
      <w:r>
        <w:rPr>
          <w:rFonts w:ascii="Arial" w:cs="Arial" w:eastAsia="Arial" w:hAnsi="Arial"/>
          <w:b/>
          <w:bCs/>
          <w:color w:val="1F3864"/>
          <w:sz w:val="24"/>
          <w:szCs w:val="24"/>
        </w:rPr>
        <w:t xml:space="preserve">Condiciones favorables para este escenario</w:t>
      </w:r>
    </w:p>
    <w:p>
      <w:pPr>
        <w:pStyle w:val="ListParagraph"/>
        <w:numPr>
          <w:ilvl w:val="0"/>
          <w:numId w:val="2"/>
        </w:numPr>
        <w:spacing w:after="40" w:before="40"/>
      </w:pPr>
      <w:r>
        <w:rPr>
          <w:rFonts w:ascii="Arial" w:cs="Arial" w:eastAsia="Arial" w:hAnsi="Arial"/>
          <w:sz w:val="22"/>
          <w:szCs w:val="22"/>
        </w:rPr>
        <w:t xml:space="preserve">El menor lleva ya un tiempo en catequesis y ha manifestado interés en la comunión.</w:t>
      </w:r>
    </w:p>
    <w:p>
      <w:pPr>
        <w:pStyle w:val="ListParagraph"/>
        <w:numPr>
          <w:ilvl w:val="0"/>
          <w:numId w:val="2"/>
        </w:numPr>
        <w:spacing w:after="40" w:before="40"/>
      </w:pPr>
      <w:r>
        <w:rPr>
          <w:rFonts w:ascii="Arial" w:cs="Arial" w:eastAsia="Arial" w:hAnsi="Arial"/>
          <w:sz w:val="22"/>
          <w:szCs w:val="22"/>
        </w:rPr>
        <w:t xml:space="preserve">Ambas partes tienen interés en evitar un proceso judicial que afecte al menor.</w:t>
      </w:r>
    </w:p>
    <w:p>
      <w:pPr>
        <w:pStyle w:val="ListParagraph"/>
        <w:numPr>
          <w:ilvl w:val="0"/>
          <w:numId w:val="2"/>
        </w:numPr>
        <w:spacing w:after="40" w:before="40"/>
      </w:pPr>
      <w:r>
        <w:rPr>
          <w:rFonts w:ascii="Arial" w:cs="Arial" w:eastAsia="Arial" w:hAnsi="Arial"/>
          <w:sz w:val="22"/>
          <w:szCs w:val="22"/>
        </w:rPr>
        <w:t xml:space="preserve">El padre no tiene objeción a la religión en sí, sino a la falta de consulta previa.</w:t>
      </w:r>
    </w:p>
    <w:p>
      <w:pPr>
        <w:pStyle w:val="ListParagraph"/>
        <w:numPr>
          <w:ilvl w:val="0"/>
          <w:numId w:val="2"/>
        </w:numPr>
        <w:spacing w:after="40" w:before="40"/>
      </w:pPr>
      <w:r>
        <w:rPr>
          <w:rFonts w:ascii="Arial" w:cs="Arial" w:eastAsia="Arial" w:hAnsi="Arial"/>
          <w:sz w:val="22"/>
          <w:szCs w:val="22"/>
        </w:rPr>
        <w:t xml:space="preserve">Existe canal de comunicación entre letrados.</w:t>
      </w:r>
    </w:p>
    <w:p>
      <w:pPr>
        <w:spacing w:after="0" w:before="60"/>
      </w:pPr>
      <w:r>
        <w:rPr>
          <w:sz w:val="22"/>
          <w:szCs w:val="22"/>
        </w:rPr>
        <w:t xml:space="preserve"/>
      </w:r>
    </w:p>
    <w:p>
      <w:pPr>
        <w:spacing w:after="80" w:before="200"/>
      </w:pPr>
      <w:r>
        <w:rPr>
          <w:rFonts w:ascii="Arial" w:cs="Arial" w:eastAsia="Arial" w:hAnsi="Arial"/>
          <w:b/>
          <w:bCs/>
          <w:color w:val="1F3864"/>
          <w:sz w:val="24"/>
          <w:szCs w:val="24"/>
        </w:rPr>
        <w:t xml:space="preserve">Plan de acción</w:t>
      </w:r>
    </w:p>
    <w:p>
      <w:pPr>
        <w:pStyle w:val="ListParagraph"/>
        <w:numPr>
          <w:ilvl w:val="0"/>
          <w:numId w:val="3"/>
        </w:numPr>
        <w:spacing w:after="40" w:before="40"/>
      </w:pPr>
      <w:r>
        <w:rPr>
          <w:rFonts w:ascii="Arial" w:cs="Arial" w:eastAsia="Arial" w:hAnsi="Arial"/>
          <w:sz w:val="22"/>
          <w:szCs w:val="22"/>
        </w:rPr>
        <w:t xml:space="preserve">Responder al burofax en plazo (máx. 10 días) reconociendo el deber de acuerdo conjunto — sin admitir vulneración formal.</w:t>
      </w:r>
    </w:p>
    <w:p>
      <w:pPr>
        <w:pStyle w:val="ListParagraph"/>
        <w:numPr>
          <w:ilvl w:val="0"/>
          <w:numId w:val="3"/>
        </w:numPr>
        <w:spacing w:after="40" w:before="40"/>
      </w:pPr>
      <w:r>
        <w:rPr>
          <w:rFonts w:ascii="Arial" w:cs="Arial" w:eastAsia="Arial" w:hAnsi="Arial"/>
          <w:sz w:val="22"/>
          <w:szCs w:val="22"/>
        </w:rPr>
        <w:t xml:space="preserve">Proponer reunión de progenitores (con o sin letrados) para acordar: continuidad de la catequesis, fecha y condiciones de la comunión.</w:t>
      </w:r>
    </w:p>
    <w:p>
      <w:pPr>
        <w:pStyle w:val="ListParagraph"/>
        <w:numPr>
          <w:ilvl w:val="0"/>
          <w:numId w:val="3"/>
        </w:numPr>
        <w:spacing w:after="40" w:before="40"/>
      </w:pPr>
      <w:r>
        <w:rPr>
          <w:rFonts w:ascii="Arial" w:cs="Arial" w:eastAsia="Arial" w:hAnsi="Arial"/>
          <w:sz w:val="22"/>
          <w:szCs w:val="22"/>
        </w:rPr>
        <w:t xml:space="preserve">Si hay acuerdo: documentarlo por escrito (correo electrónico o escrito firmado por ambos) para evitar conflictos posteriores.</w:t>
      </w:r>
    </w:p>
    <w:p>
      <w:pPr>
        <w:pStyle w:val="ListParagraph"/>
        <w:numPr>
          <w:ilvl w:val="0"/>
          <w:numId w:val="3"/>
        </w:numPr>
        <w:spacing w:after="40" w:before="40"/>
      </w:pPr>
      <w:r>
        <w:rPr>
          <w:rFonts w:ascii="Arial" w:cs="Arial" w:eastAsia="Arial" w:hAnsi="Arial"/>
          <w:sz w:val="22"/>
          <w:szCs w:val="22"/>
        </w:rPr>
        <w:t xml:space="preserve">Recabar declaración o expresión de voluntad del menor (con tino y sin presionarlo) como argumento reforzador del interés superior.</w:t>
      </w:r>
    </w:p>
    <w:p>
      <w:pPr>
        <w:pStyle w:val="ListParagraph"/>
        <w:numPr>
          <w:ilvl w:val="0"/>
          <w:numId w:val="3"/>
        </w:numPr>
        <w:spacing w:after="40" w:before="40"/>
      </w:pPr>
      <w:r>
        <w:rPr>
          <w:rFonts w:ascii="Arial" w:cs="Arial" w:eastAsia="Arial" w:hAnsi="Arial"/>
          <w:sz w:val="22"/>
          <w:szCs w:val="22"/>
        </w:rPr>
        <w:t xml:space="preserve">Pactar asimismo un protocolo futuro para decisiones de análoga trascendencia, evitando recurrencia del conflicto.</w:t>
      </w:r>
    </w:p>
    <w:p>
      <w:pPr>
        <w:spacing w:after="0" w:before="60"/>
      </w:pPr>
      <w:r>
        <w:rPr>
          <w:sz w:val="22"/>
          <w:szCs w:val="22"/>
        </w:rPr>
        <w:t xml:space="preserve"/>
      </w:r>
    </w:p>
    <w:p>
      <w:pPr>
        <w:spacing w:after="80" w:before="200"/>
      </w:pPr>
      <w:r>
        <w:rPr>
          <w:rFonts w:ascii="Arial" w:cs="Arial" w:eastAsia="Arial" w:hAnsi="Arial"/>
          <w:b/>
          <w:bCs/>
          <w:color w:val="1F3864"/>
          <w:sz w:val="24"/>
          <w:szCs w:val="24"/>
        </w:rPr>
        <w:t xml:space="preserve">Resultado esperado</w:t>
      </w:r>
    </w:p>
    <w:p>
      <w:pPr>
        <w:spacing w:after="60" w:before="60"/>
        <w:jc w:val="left"/>
      </w:pPr>
      <w:r>
        <w:rPr>
          <w:rFonts w:ascii="Arial" w:cs="Arial" w:eastAsia="Arial" w:hAnsi="Arial"/>
          <w:sz w:val="22"/>
          <w:szCs w:val="22"/>
        </w:rPr>
        <w:t xml:space="preserve">Resolución del conflicto sin judicialización. La madre mantiene la catequesis y la comunión con el consentimiento formal del padre. Relación coparental preservada.</w:t>
      </w:r>
    </w:p>
    <w:p>
      <w:pPr>
        <w:spacing w:after="0" w:before="60"/>
      </w:pPr>
      <w:r>
        <w:rPr>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none" w:color="FFFFFF" w:sz="0"/>
              <w:left w:val="none" w:color="FFFFFF" w:sz="0"/>
              <w:bottom w:val="none" w:color="FFFFFF" w:sz="0"/>
              <w:right w:val="none" w:color="FFFFFF" w:sz="0"/>
            </w:tcBorders>
            <w:shd w:fill="8B5E0A" w:val="clear"/>
            <w:tcMar>
              <w:top w:type="dxa" w:w="100"/>
              <w:left w:type="dxa" w:w="200"/>
              <w:bottom w:type="dxa" w:w="100"/>
              <w:right w:type="dxa" w:w="200"/>
            </w:tcMar>
          </w:tcPr>
          <w:p>
            <w:r>
              <w:rPr>
                <w:rFonts w:ascii="Arial" w:cs="Arial" w:eastAsia="Arial" w:hAnsi="Arial"/>
                <w:b/>
                <w:bCs/>
                <w:color w:val="FFFFFF"/>
                <w:sz w:val="24"/>
                <w:szCs w:val="24"/>
              </w:rPr>
              <w:t xml:space="preserve">ESCENARIO B: </w:t>
            </w:r>
            <w:r>
              <w:rPr>
                <w:rFonts w:ascii="Arial" w:cs="Arial" w:eastAsia="Arial" w:hAnsi="Arial"/>
                <w:b/>
                <w:bCs/>
                <w:color w:val="FFFFFF"/>
                <w:sz w:val="24"/>
                <w:szCs w:val="24"/>
              </w:rPr>
              <w:t xml:space="preserve">MEDIACIÓN FAMILIAR</w:t>
            </w:r>
          </w:p>
        </w:tc>
      </w:tr>
    </w:tbl>
    <w:p>
      <w:pPr>
        <w:spacing w:after="0" w:before="60"/>
      </w:pPr>
      <w:r>
        <w:rPr>
          <w:sz w:val="22"/>
          <w:szCs w:val="22"/>
        </w:rPr>
        <w:t xml:space="preserve"/>
      </w:r>
    </w:p>
    <w:p>
      <w:pPr>
        <w:spacing w:after="80" w:before="200"/>
      </w:pPr>
      <w:r>
        <w:rPr>
          <w:rFonts w:ascii="Arial" w:cs="Arial" w:eastAsia="Arial" w:hAnsi="Arial"/>
          <w:b/>
          <w:bCs/>
          <w:color w:val="1F3864"/>
          <w:sz w:val="24"/>
          <w:szCs w:val="24"/>
        </w:rPr>
        <w:t xml:space="preserve">Descripción del escenario</w:t>
      </w:r>
    </w:p>
    <w:p>
      <w:pPr>
        <w:spacing w:after="60" w:before="60"/>
        <w:jc w:val="left"/>
      </w:pPr>
      <w:r>
        <w:rPr>
          <w:rFonts w:ascii="Arial" w:cs="Arial" w:eastAsia="Arial" w:hAnsi="Arial"/>
          <w:sz w:val="22"/>
          <w:szCs w:val="22"/>
        </w:rPr>
        <w:t xml:space="preserve">Si el diálogo directo no prospera, la madre propone en su respuesta al burofax el sometimiento a un proceso de mediación familiar, tal como el propio burofax contempla. Este escenario resulta adecuado cuando existe tensión pero no posicionamiento extremo de ninguna de las partes.</w:t>
      </w:r>
    </w:p>
    <w:p>
      <w:pPr>
        <w:spacing w:after="0" w:before="60"/>
      </w:pPr>
      <w:r>
        <w:rPr>
          <w:sz w:val="22"/>
          <w:szCs w:val="22"/>
        </w:rPr>
        <w:t xml:space="preserve"/>
      </w:r>
    </w:p>
    <w:p>
      <w:pPr>
        <w:spacing w:after="80" w:before="200"/>
      </w:pPr>
      <w:r>
        <w:rPr>
          <w:rFonts w:ascii="Arial" w:cs="Arial" w:eastAsia="Arial" w:hAnsi="Arial"/>
          <w:b/>
          <w:bCs/>
          <w:color w:val="1F3864"/>
          <w:sz w:val="24"/>
          <w:szCs w:val="24"/>
        </w:rPr>
        <w:t xml:space="preserve">Fundamento jurídico</w:t>
      </w:r>
    </w:p>
    <w:p>
      <w:pPr>
        <w:pStyle w:val="ListParagraph"/>
        <w:numPr>
          <w:ilvl w:val="0"/>
          <w:numId w:val="2"/>
        </w:numPr>
        <w:spacing w:after="40" w:before="40"/>
      </w:pPr>
      <w:r>
        <w:rPr>
          <w:rFonts w:ascii="Arial" w:cs="Arial" w:eastAsia="Arial" w:hAnsi="Arial"/>
          <w:sz w:val="22"/>
          <w:szCs w:val="22"/>
        </w:rPr>
        <w:t xml:space="preserve">El propio burofax invita a la mediación como alternativa a la vía judicial (apartado 4 del Requerimiento).</w:t>
      </w:r>
    </w:p>
    <w:p>
      <w:pPr>
        <w:pStyle w:val="ListParagraph"/>
        <w:numPr>
          <w:ilvl w:val="0"/>
          <w:numId w:val="2"/>
        </w:numPr>
        <w:spacing w:after="40" w:before="40"/>
      </w:pPr>
      <w:r>
        <w:rPr>
          <w:rFonts w:ascii="Arial" w:cs="Arial" w:eastAsia="Arial" w:hAnsi="Arial"/>
          <w:sz w:val="22"/>
          <w:szCs w:val="22"/>
        </w:rPr>
        <w:t xml:space="preserve">La Ley 5/2012, de mediación en asuntos civiles y mercantiles, es aplicable. Varias CCAA tienen leyes autonómicas específicas en materia de familia.</w:t>
      </w:r>
    </w:p>
    <w:p>
      <w:pPr>
        <w:pStyle w:val="ListParagraph"/>
        <w:numPr>
          <w:ilvl w:val="0"/>
          <w:numId w:val="2"/>
        </w:numPr>
        <w:spacing w:after="40" w:before="40"/>
      </w:pPr>
      <w:r>
        <w:rPr>
          <w:rFonts w:ascii="Arial" w:cs="Arial" w:eastAsia="Arial" w:hAnsi="Arial"/>
          <w:sz w:val="22"/>
          <w:szCs w:val="22"/>
        </w:rPr>
        <w:t xml:space="preserve">La mediación interrumpe los plazos de caducidad y prescripción (art. 4 Ley 5/2012).</w:t>
      </w:r>
    </w:p>
    <w:p>
      <w:pPr>
        <w:pStyle w:val="ListParagraph"/>
        <w:numPr>
          <w:ilvl w:val="0"/>
          <w:numId w:val="2"/>
        </w:numPr>
        <w:spacing w:after="40" w:before="40"/>
      </w:pPr>
      <w:r>
        <w:rPr>
          <w:rFonts w:ascii="Arial" w:cs="Arial" w:eastAsia="Arial" w:hAnsi="Arial"/>
          <w:sz w:val="22"/>
          <w:szCs w:val="22"/>
        </w:rPr>
        <w:t xml:space="preserve">Los acuerdos de mediación son ejecutables si se elevan a escritura pública o se homologan judicialmente.</w:t>
      </w:r>
    </w:p>
    <w:p>
      <w:pPr>
        <w:spacing w:after="0" w:before="60"/>
      </w:pPr>
      <w:r>
        <w:rPr>
          <w:sz w:val="22"/>
          <w:szCs w:val="22"/>
        </w:rPr>
        <w:t xml:space="preserve"/>
      </w:r>
    </w:p>
    <w:p>
      <w:pPr>
        <w:spacing w:after="80" w:before="200"/>
      </w:pPr>
      <w:r>
        <w:rPr>
          <w:rFonts w:ascii="Arial" w:cs="Arial" w:eastAsia="Arial" w:hAnsi="Arial"/>
          <w:b/>
          <w:bCs/>
          <w:color w:val="1F3864"/>
          <w:sz w:val="24"/>
          <w:szCs w:val="24"/>
        </w:rPr>
        <w:t xml:space="preserve">Plan de acción</w:t>
      </w:r>
    </w:p>
    <w:p>
      <w:pPr>
        <w:pStyle w:val="ListParagraph"/>
        <w:numPr>
          <w:ilvl w:val="0"/>
          <w:numId w:val="3"/>
        </w:numPr>
        <w:spacing w:after="40" w:before="40"/>
      </w:pPr>
      <w:r>
        <w:rPr>
          <w:rFonts w:ascii="Arial" w:cs="Arial" w:eastAsia="Arial" w:hAnsi="Arial"/>
          <w:sz w:val="22"/>
          <w:szCs w:val="22"/>
        </w:rPr>
        <w:t xml:space="preserve">En la respuesta al burofax, aceptar expresamente la propuesta de mediación como vía prioritaria.</w:t>
      </w:r>
    </w:p>
    <w:p>
      <w:pPr>
        <w:pStyle w:val="ListParagraph"/>
        <w:numPr>
          <w:ilvl w:val="0"/>
          <w:numId w:val="3"/>
        </w:numPr>
        <w:spacing w:after="40" w:before="40"/>
      </w:pPr>
      <w:r>
        <w:rPr>
          <w:rFonts w:ascii="Arial" w:cs="Arial" w:eastAsia="Arial" w:hAnsi="Arial"/>
          <w:sz w:val="22"/>
          <w:szCs w:val="22"/>
        </w:rPr>
        <w:t xml:space="preserve">Proponer mediador concreto o derivar al servicio de mediación del punto de encuentro familiar o del turno de oficio colegial.</w:t>
      </w:r>
    </w:p>
    <w:p>
      <w:pPr>
        <w:pStyle w:val="ListParagraph"/>
        <w:numPr>
          <w:ilvl w:val="0"/>
          <w:numId w:val="3"/>
        </w:numPr>
        <w:spacing w:after="40" w:before="40"/>
      </w:pPr>
      <w:r>
        <w:rPr>
          <w:rFonts w:ascii="Arial" w:cs="Arial" w:eastAsia="Arial" w:hAnsi="Arial"/>
          <w:sz w:val="22"/>
          <w:szCs w:val="22"/>
        </w:rPr>
        <w:t xml:space="preserve">Solicitar que durante la mediación se mantenga el statu quo: el menor continúa en catequesis.</w:t>
      </w:r>
    </w:p>
    <w:p>
      <w:pPr>
        <w:pStyle w:val="ListParagraph"/>
        <w:numPr>
          <w:ilvl w:val="0"/>
          <w:numId w:val="3"/>
        </w:numPr>
        <w:spacing w:after="40" w:before="40"/>
      </w:pPr>
      <w:r>
        <w:rPr>
          <w:rFonts w:ascii="Arial" w:cs="Arial" w:eastAsia="Arial" w:hAnsi="Arial"/>
          <w:sz w:val="22"/>
          <w:szCs w:val="22"/>
        </w:rPr>
        <w:t xml:space="preserve">En el proceso de mediación, introducir la voz del menor a través de profesional especializado si fuera necesario.</w:t>
      </w:r>
    </w:p>
    <w:p>
      <w:pPr>
        <w:pStyle w:val="ListParagraph"/>
        <w:numPr>
          <w:ilvl w:val="0"/>
          <w:numId w:val="3"/>
        </w:numPr>
        <w:spacing w:after="40" w:before="40"/>
      </w:pPr>
      <w:r>
        <w:rPr>
          <w:rFonts w:ascii="Arial" w:cs="Arial" w:eastAsia="Arial" w:hAnsi="Arial"/>
          <w:sz w:val="22"/>
          <w:szCs w:val="22"/>
        </w:rPr>
        <w:t xml:space="preserve">Si se alcanza acuerdo: elevar a escritura pública o solicitar homologación judicial para dotarlo de eficacia ejecutiva.</w:t>
      </w:r>
    </w:p>
    <w:p>
      <w:pPr>
        <w:spacing w:after="0" w:before="60"/>
      </w:pPr>
      <w:r>
        <w:rPr>
          <w:sz w:val="22"/>
          <w:szCs w:val="22"/>
        </w:rPr>
        <w:t xml:space="preserve"/>
      </w:r>
    </w:p>
    <w:p>
      <w:pPr>
        <w:spacing w:after="80" w:before="200"/>
      </w:pPr>
      <w:r>
        <w:rPr>
          <w:rFonts w:ascii="Arial" w:cs="Arial" w:eastAsia="Arial" w:hAnsi="Arial"/>
          <w:b/>
          <w:bCs/>
          <w:color w:val="1F3864"/>
          <w:sz w:val="24"/>
          <w:szCs w:val="24"/>
        </w:rPr>
        <w:t xml:space="preserve">Riesgo principal</w:t>
      </w:r>
    </w:p>
    <w:p>
      <w:pPr>
        <w:spacing w:after="60" w:before="60"/>
        <w:jc w:val="left"/>
      </w:pPr>
      <w:r>
        <w:rPr>
          <w:rFonts w:ascii="Arial" w:cs="Arial" w:eastAsia="Arial" w:hAnsi="Arial"/>
          <w:sz w:val="22"/>
          <w:szCs w:val="22"/>
        </w:rPr>
        <w:t xml:space="preserve">Que el padre rechace la mediación y acuda directamente a jurisdicción voluntaria. En este caso, la respuesta al burofax que haya ofrecido mediación fortalece la imagen procesal de la madre como parte colaboradora y de buena fe.</w:t>
      </w:r>
    </w:p>
    <w:p>
      <w:pPr>
        <w:spacing w:after="0" w:before="60"/>
      </w:pPr>
      <w:r>
        <w:rPr>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none" w:color="FFFFFF" w:sz="0"/>
              <w:left w:val="none" w:color="FFFFFF" w:sz="0"/>
              <w:bottom w:val="none" w:color="FFFFFF" w:sz="0"/>
              <w:right w:val="none" w:color="FFFFFF" w:sz="0"/>
            </w:tcBorders>
            <w:shd w:fill="2E5FA3" w:val="clear"/>
            <w:tcMar>
              <w:top w:type="dxa" w:w="100"/>
              <w:left w:type="dxa" w:w="200"/>
              <w:bottom w:type="dxa" w:w="100"/>
              <w:right w:type="dxa" w:w="200"/>
            </w:tcMar>
          </w:tcPr>
          <w:p>
            <w:r>
              <w:rPr>
                <w:rFonts w:ascii="Arial" w:cs="Arial" w:eastAsia="Arial" w:hAnsi="Arial"/>
                <w:b/>
                <w:bCs/>
                <w:color w:val="FFFFFF"/>
                <w:sz w:val="24"/>
                <w:szCs w:val="24"/>
              </w:rPr>
              <w:t xml:space="preserve">ESCENARIO C: </w:t>
            </w:r>
            <w:r>
              <w:rPr>
                <w:rFonts w:ascii="Arial" w:cs="Arial" w:eastAsia="Arial" w:hAnsi="Arial"/>
                <w:b/>
                <w:bCs/>
                <w:color w:val="FFFFFF"/>
                <w:sz w:val="24"/>
                <w:szCs w:val="24"/>
              </w:rPr>
              <w:t xml:space="preserve">JURISDICCIÓN VOLUNTARIA — ART. 156 CC</w:t>
            </w:r>
          </w:p>
        </w:tc>
      </w:tr>
    </w:tbl>
    <w:p>
      <w:pPr>
        <w:spacing w:after="0" w:before="60"/>
      </w:pPr>
      <w:r>
        <w:rPr>
          <w:sz w:val="22"/>
          <w:szCs w:val="22"/>
        </w:rPr>
        <w:t xml:space="preserve"/>
      </w:r>
    </w:p>
    <w:p>
      <w:pPr>
        <w:spacing w:after="80" w:before="200"/>
      </w:pPr>
      <w:r>
        <w:rPr>
          <w:rFonts w:ascii="Arial" w:cs="Arial" w:eastAsia="Arial" w:hAnsi="Arial"/>
          <w:b/>
          <w:bCs/>
          <w:color w:val="1F3864"/>
          <w:sz w:val="24"/>
          <w:szCs w:val="24"/>
        </w:rPr>
        <w:t xml:space="preserve">Descripción del escenario</w:t>
      </w:r>
    </w:p>
    <w:p>
      <w:pPr>
        <w:spacing w:after="60" w:before="60"/>
        <w:jc w:val="left"/>
      </w:pPr>
      <w:r>
        <w:rPr>
          <w:rFonts w:ascii="Arial" w:cs="Arial" w:eastAsia="Arial" w:hAnsi="Arial"/>
          <w:sz w:val="22"/>
          <w:szCs w:val="22"/>
        </w:rPr>
        <w:t xml:space="preserve">El padre, ante la falta de acuerdo o ante la negativa de la madre a suspender la catequesis, interpone expediente de jurisdicción voluntaria al amparo del art. 156.2 CC, solicitando que el juez atribuya a uno de los progenitores la facultad de decidir sobre la formación religiosa del menor.</w:t>
      </w:r>
    </w:p>
    <w:p>
      <w:pPr>
        <w:spacing w:after="0" w:before="60"/>
      </w:pPr>
      <w:r>
        <w:rPr>
          <w:sz w:val="22"/>
          <w:szCs w:val="22"/>
        </w:rPr>
        <w:t xml:space="preserve"/>
      </w:r>
    </w:p>
    <w:p>
      <w:pPr>
        <w:spacing w:after="80" w:before="200"/>
      </w:pPr>
      <w:r>
        <w:rPr>
          <w:rFonts w:ascii="Arial" w:cs="Arial" w:eastAsia="Arial" w:hAnsi="Arial"/>
          <w:b/>
          <w:bCs/>
          <w:color w:val="1F3864"/>
          <w:sz w:val="24"/>
          <w:szCs w:val="24"/>
        </w:rPr>
        <w:t xml:space="preserve">Vía procesal</w:t>
      </w:r>
    </w:p>
    <w:p>
      <w:pPr>
        <w:pStyle w:val="ListParagraph"/>
        <w:numPr>
          <w:ilvl w:val="0"/>
          <w:numId w:val="2"/>
        </w:numPr>
        <w:spacing w:after="40" w:before="40"/>
      </w:pPr>
      <w:r>
        <w:rPr>
          <w:rFonts w:ascii="Arial" w:cs="Arial" w:eastAsia="Arial" w:hAnsi="Arial"/>
          <w:sz w:val="22"/>
          <w:szCs w:val="22"/>
        </w:rPr>
        <w:t xml:space="preserve">Competencia: Juzgado de Primera Instancia del domicilio del menor (art. 85 LJV).</w:t>
      </w:r>
    </w:p>
    <w:p>
      <w:pPr>
        <w:pStyle w:val="ListParagraph"/>
        <w:numPr>
          <w:ilvl w:val="0"/>
          <w:numId w:val="2"/>
        </w:numPr>
        <w:spacing w:after="40" w:before="40"/>
      </w:pPr>
      <w:r>
        <w:rPr>
          <w:rFonts w:ascii="Arial" w:cs="Arial" w:eastAsia="Arial" w:hAnsi="Arial"/>
          <w:sz w:val="22"/>
          <w:szCs w:val="22"/>
        </w:rPr>
        <w:t xml:space="preserve">Procedimiento: Expediente de jurisdicción voluntaria. Sin carácter contencioso en principio, aunque puede derivar en ello.</w:t>
      </w:r>
    </w:p>
    <w:p>
      <w:pPr>
        <w:pStyle w:val="ListParagraph"/>
        <w:numPr>
          <w:ilvl w:val="0"/>
          <w:numId w:val="2"/>
        </w:numPr>
        <w:spacing w:after="40" w:before="40"/>
      </w:pPr>
      <w:r>
        <w:rPr>
          <w:rFonts w:ascii="Arial" w:cs="Arial" w:eastAsia="Arial" w:hAnsi="Arial"/>
          <w:sz w:val="22"/>
          <w:szCs w:val="22"/>
        </w:rPr>
        <w:t xml:space="preserve">No requiere abogado ni procurador en primera instancia salvo que las partes comparezcan con representación.</w:t>
      </w:r>
    </w:p>
    <w:p>
      <w:pPr>
        <w:pStyle w:val="ListParagraph"/>
        <w:numPr>
          <w:ilvl w:val="0"/>
          <w:numId w:val="2"/>
        </w:numPr>
        <w:spacing w:after="40" w:before="40"/>
      </w:pPr>
      <w:r>
        <w:rPr>
          <w:rFonts w:ascii="Arial" w:cs="Arial" w:eastAsia="Arial" w:hAnsi="Arial"/>
          <w:sz w:val="22"/>
          <w:szCs w:val="22"/>
        </w:rPr>
        <w:t xml:space="preserve">El juez puede acordar la práctica de exploración del menor (art. 9 LOPJM).</w:t>
      </w:r>
    </w:p>
    <w:p>
      <w:pPr>
        <w:pStyle w:val="ListParagraph"/>
        <w:numPr>
          <w:ilvl w:val="0"/>
          <w:numId w:val="2"/>
        </w:numPr>
        <w:spacing w:after="40" w:before="40"/>
      </w:pPr>
      <w:r>
        <w:rPr>
          <w:rFonts w:ascii="Arial" w:cs="Arial" w:eastAsia="Arial" w:hAnsi="Arial"/>
          <w:sz w:val="22"/>
          <w:szCs w:val="22"/>
        </w:rPr>
        <w:t xml:space="preserve">Resolución: Auto no apelable en efectos inmediatos, aunque puede recurrirse.</w:t>
      </w:r>
    </w:p>
    <w:p>
      <w:pPr>
        <w:spacing w:after="0" w:before="60"/>
      </w:pPr>
      <w:r>
        <w:rPr>
          <w:sz w:val="22"/>
          <w:szCs w:val="22"/>
        </w:rPr>
        <w:t xml:space="preserve"/>
      </w:r>
    </w:p>
    <w:p>
      <w:pPr>
        <w:spacing w:after="80" w:before="200"/>
      </w:pPr>
      <w:r>
        <w:rPr>
          <w:rFonts w:ascii="Arial" w:cs="Arial" w:eastAsia="Arial" w:hAnsi="Arial"/>
          <w:b/>
          <w:bCs/>
          <w:color w:val="1F3864"/>
          <w:sz w:val="24"/>
          <w:szCs w:val="24"/>
        </w:rPr>
        <w:t xml:space="preserve">Argumentario de la madre ante el juzgado</w:t>
      </w:r>
    </w:p>
    <w:p>
      <w:pPr>
        <w:pStyle w:val="ListParagraph"/>
        <w:numPr>
          <w:ilvl w:val="0"/>
          <w:numId w:val="2"/>
        </w:numPr>
        <w:spacing w:after="40" w:before="40"/>
      </w:pPr>
      <w:r>
        <w:rPr>
          <w:rFonts w:ascii="Arial" w:cs="Arial" w:eastAsia="Arial" w:hAnsi="Arial"/>
          <w:sz w:val="22"/>
          <w:szCs w:val="22"/>
        </w:rPr>
        <w:t xml:space="preserve">El menor lleva [X] semanas/meses en catequesis; interrumpir el proceso supone un perjuicio para él (criterio STS 465/2015 —la irreversibilidad afecta al sacramento, no necesariamente a la formación previa).</w:t>
      </w:r>
    </w:p>
    <w:p>
      <w:pPr>
        <w:pStyle w:val="ListParagraph"/>
        <w:numPr>
          <w:ilvl w:val="0"/>
          <w:numId w:val="2"/>
        </w:numPr>
        <w:spacing w:after="40" w:before="40"/>
      </w:pPr>
      <w:r>
        <w:rPr>
          <w:rFonts w:ascii="Arial" w:cs="Arial" w:eastAsia="Arial" w:hAnsi="Arial"/>
          <w:sz w:val="22"/>
          <w:szCs w:val="22"/>
        </w:rPr>
        <w:t xml:space="preserve">El menor, con 9 años y madurez suficiente, ha expresado su deseo de realizar la comunión (solicitar exploración judicial).</w:t>
      </w:r>
    </w:p>
    <w:p>
      <w:pPr>
        <w:pStyle w:val="ListParagraph"/>
        <w:numPr>
          <w:ilvl w:val="0"/>
          <w:numId w:val="2"/>
        </w:numPr>
        <w:spacing w:after="40" w:before="40"/>
      </w:pPr>
      <w:r>
        <w:rPr>
          <w:rFonts w:ascii="Arial" w:cs="Arial" w:eastAsia="Arial" w:hAnsi="Arial"/>
          <w:sz w:val="22"/>
          <w:szCs w:val="22"/>
        </w:rPr>
        <w:t xml:space="preserve">La Primera Comunión tiene para el menor un significado social y familiar que trasciende lo meramente religioso.</w:t>
      </w:r>
    </w:p>
    <w:p>
      <w:pPr>
        <w:pStyle w:val="ListParagraph"/>
        <w:numPr>
          <w:ilvl w:val="0"/>
          <w:numId w:val="2"/>
        </w:numPr>
        <w:spacing w:after="40" w:before="40"/>
      </w:pPr>
      <w:r>
        <w:rPr>
          <w:rFonts w:ascii="Arial" w:cs="Arial" w:eastAsia="Arial" w:hAnsi="Arial"/>
          <w:sz w:val="22"/>
          <w:szCs w:val="22"/>
        </w:rPr>
        <w:t xml:space="preserve">El padre no acredita objeción de conciencia fundamentada o convicciones religiosas contrarias que justifiquen la negativa.</w:t>
      </w:r>
    </w:p>
    <w:p>
      <w:pPr>
        <w:pStyle w:val="ListParagraph"/>
        <w:numPr>
          <w:ilvl w:val="0"/>
          <w:numId w:val="2"/>
        </w:numPr>
        <w:spacing w:after="40" w:before="40"/>
      </w:pPr>
      <w:r>
        <w:rPr>
          <w:rFonts w:ascii="Arial" w:cs="Arial" w:eastAsia="Arial" w:hAnsi="Arial"/>
          <w:sz w:val="22"/>
          <w:szCs w:val="22"/>
        </w:rPr>
        <w:t xml:space="preserve">La actuación de la madre, aunque formalmente unilateral, estuvo motivada por el interés del hijo y el entorno sociocultural del menor.</w:t>
      </w:r>
    </w:p>
    <w:p>
      <w:pPr>
        <w:spacing w:after="0" w:before="60"/>
      </w:pPr>
      <w:r>
        <w:rPr>
          <w:sz w:val="22"/>
          <w:szCs w:val="22"/>
        </w:rPr>
        <w:t xml:space="preserve"/>
      </w:r>
    </w:p>
    <w:p>
      <w:pPr>
        <w:spacing w:after="80" w:before="200"/>
      </w:pPr>
      <w:r>
        <w:rPr>
          <w:rFonts w:ascii="Arial" w:cs="Arial" w:eastAsia="Arial" w:hAnsi="Arial"/>
          <w:b/>
          <w:bCs/>
          <w:color w:val="1F3864"/>
          <w:sz w:val="24"/>
          <w:szCs w:val="24"/>
        </w:rPr>
        <w:t xml:space="preserve">Riesgo principal</w:t>
      </w:r>
    </w:p>
    <w:p>
      <w:pPr>
        <w:spacing w:after="60" w:before="60"/>
        <w:jc w:val="left"/>
      </w:pPr>
      <w:r>
        <w:rPr>
          <w:rFonts w:ascii="Arial" w:cs="Arial" w:eastAsia="Arial" w:hAnsi="Arial"/>
          <w:sz w:val="22"/>
          <w:szCs w:val="22"/>
        </w:rPr>
        <w:t xml:space="preserve">Si el menor no expresa deseo claro de hacer la comunión, o si el juez considera que la decisión debe quedar en suspenso hasta que el menor tenga mayor madurez, podría atribuirse al padre la facultad de veto. La exploración del menor es el elemento determinante de este escenario.</w:t>
      </w:r>
    </w:p>
    <w:p>
      <w:pPr>
        <w:spacing w:after="0" w:before="60"/>
      </w:pPr>
      <w:r>
        <w:rPr>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none" w:color="FFFFFF" w:sz="0"/>
              <w:left w:val="none" w:color="FFFFFF" w:sz="0"/>
              <w:bottom w:val="none" w:color="FFFFFF" w:sz="0"/>
              <w:right w:val="none" w:color="FFFFFF" w:sz="0"/>
            </w:tcBorders>
            <w:shd w:fill="C00000" w:val="clear"/>
            <w:tcMar>
              <w:top w:type="dxa" w:w="100"/>
              <w:left w:type="dxa" w:w="200"/>
              <w:bottom w:type="dxa" w:w="100"/>
              <w:right w:type="dxa" w:w="200"/>
            </w:tcMar>
          </w:tcPr>
          <w:p>
            <w:r>
              <w:rPr>
                <w:rFonts w:ascii="Arial" w:cs="Arial" w:eastAsia="Arial" w:hAnsi="Arial"/>
                <w:b/>
                <w:bCs/>
                <w:color w:val="FFFFFF"/>
                <w:sz w:val="24"/>
                <w:szCs w:val="24"/>
              </w:rPr>
              <w:t xml:space="preserve">ESCENARIO D: </w:t>
            </w:r>
            <w:r>
              <w:rPr>
                <w:rFonts w:ascii="Arial" w:cs="Arial" w:eastAsia="Arial" w:hAnsi="Arial"/>
                <w:b/>
                <w:bCs/>
                <w:color w:val="FFFFFF"/>
                <w:sz w:val="24"/>
                <w:szCs w:val="24"/>
              </w:rPr>
              <w:t xml:space="preserve">CELEBRACIÓN UNILATERAL DE LA COMUNIÓN — RIESGO MÁXIMO</w:t>
            </w:r>
          </w:p>
        </w:tc>
      </w:tr>
    </w:tbl>
    <w:p>
      <w:pPr>
        <w:spacing w:after="0" w:before="60"/>
      </w:pPr>
      <w:r>
        <w:rPr>
          <w:sz w:val="22"/>
          <w:szCs w:val="22"/>
        </w:rPr>
        <w:t xml:space="preserve"/>
      </w:r>
    </w:p>
    <w:p>
      <w:pPr>
        <w:spacing w:after="80" w:before="200"/>
      </w:pPr>
      <w:r>
        <w:rPr>
          <w:rFonts w:ascii="Arial" w:cs="Arial" w:eastAsia="Arial" w:hAnsi="Arial"/>
          <w:b/>
          <w:bCs/>
          <w:color w:val="1F3864"/>
          <w:sz w:val="24"/>
          <w:szCs w:val="24"/>
        </w:rPr>
        <w:t xml:space="preserve">Descripción del escenario</w:t>
      </w:r>
    </w:p>
    <w:p>
      <w:pPr>
        <w:spacing w:after="60" w:before="60"/>
        <w:jc w:val="left"/>
      </w:pPr>
      <w:r>
        <w:rPr>
          <w:rFonts w:ascii="Arial" w:cs="Arial" w:eastAsia="Arial" w:hAnsi="Arial"/>
          <w:sz w:val="22"/>
          <w:szCs w:val="22"/>
        </w:rPr>
        <w:t xml:space="preserve">La madre, haciendo caso omiso del burofax, procede a celebrar la Primera Comunión del menor sin acuerdo del padre y sin resolución judicial.</w:t>
      </w:r>
    </w:p>
    <w:p>
      <w:pPr>
        <w:spacing w:after="0" w:before="60"/>
      </w:pPr>
      <w:r>
        <w:rPr>
          <w:sz w:val="22"/>
          <w:szCs w:val="22"/>
        </w:rPr>
        <w:t xml:space="preserve"/>
      </w:r>
    </w:p>
    <w:p>
      <w:pPr>
        <w:spacing w:after="80" w:before="200"/>
      </w:pPr>
      <w:r>
        <w:rPr>
          <w:rFonts w:ascii="Arial" w:cs="Arial" w:eastAsia="Arial" w:hAnsi="Arial"/>
          <w:b/>
          <w:bCs/>
          <w:color w:val="1F3864"/>
          <w:sz w:val="24"/>
          <w:szCs w:val="24"/>
        </w:rPr>
        <w:t xml:space="preserve">Consecuencias jurídicas previsibles</w:t>
      </w:r>
    </w:p>
    <w:p>
      <w:pPr>
        <w:pStyle w:val="ListParagraph"/>
        <w:numPr>
          <w:ilvl w:val="0"/>
          <w:numId w:val="2"/>
        </w:numPr>
        <w:spacing w:after="40" w:before="40"/>
      </w:pPr>
      <w:r>
        <w:rPr>
          <w:rFonts w:ascii="Arial" w:cs="Arial" w:eastAsia="Arial" w:hAnsi="Arial"/>
          <w:sz w:val="22"/>
          <w:szCs w:val="22"/>
        </w:rPr>
        <w:t xml:space="preserve">El padre puede instar al juzgado con carácter urgente la suspensión cautelar de la celebración (medida cautelar en el seno del expediente de JV o procedimiento de modificación de medidas).</w:t>
      </w:r>
    </w:p>
    <w:p>
      <w:pPr>
        <w:pStyle w:val="ListParagraph"/>
        <w:numPr>
          <w:ilvl w:val="0"/>
          <w:numId w:val="2"/>
        </w:numPr>
        <w:spacing w:after="40" w:before="40"/>
      </w:pPr>
      <w:r>
        <w:rPr>
          <w:rFonts w:ascii="Arial" w:cs="Arial" w:eastAsia="Arial" w:hAnsi="Arial"/>
          <w:sz w:val="22"/>
          <w:szCs w:val="22"/>
        </w:rPr>
        <w:t xml:space="preserve">Si la comunión ya se ha celebrado, el padre puede solicitar que el juzgado atribuya a él la facultad de decidir sobre futuras decisiones religiosas del menor.</w:t>
      </w:r>
    </w:p>
    <w:p>
      <w:pPr>
        <w:pStyle w:val="ListParagraph"/>
        <w:numPr>
          <w:ilvl w:val="0"/>
          <w:numId w:val="2"/>
        </w:numPr>
        <w:spacing w:after="40" w:before="40"/>
      </w:pPr>
      <w:r>
        <w:rPr>
          <w:rFonts w:ascii="Arial" w:cs="Arial" w:eastAsia="Arial" w:hAnsi="Arial"/>
          <w:sz w:val="22"/>
          <w:szCs w:val="22"/>
        </w:rPr>
        <w:t xml:space="preserve">Este escenario refuerza la posición del padre en cualquier litigio posterior y deteriora la imagen procesal de la madre.</w:t>
      </w:r>
    </w:p>
    <w:p>
      <w:pPr>
        <w:pStyle w:val="ListParagraph"/>
        <w:numPr>
          <w:ilvl w:val="0"/>
          <w:numId w:val="2"/>
        </w:numPr>
        <w:spacing w:after="40" w:before="40"/>
      </w:pPr>
      <w:r>
        <w:rPr>
          <w:rFonts w:ascii="Arial" w:cs="Arial" w:eastAsia="Arial" w:hAnsi="Arial"/>
          <w:sz w:val="22"/>
          <w:szCs w:val="22"/>
        </w:rPr>
        <w:t xml:space="preserve">En procedimientos de divorcio o separación en curso, la actuación unilateral puede influir negativamente en la valoración judicial de la coparentalidad de la madre.</w:t>
      </w:r>
    </w:p>
    <w:p>
      <w:pPr>
        <w:pStyle w:val="ListParagraph"/>
        <w:numPr>
          <w:ilvl w:val="0"/>
          <w:numId w:val="2"/>
        </w:numPr>
        <w:spacing w:after="40" w:before="40"/>
      </w:pPr>
      <w:r>
        <w:rPr>
          <w:rFonts w:ascii="Arial" w:cs="Arial" w:eastAsia="Arial" w:hAnsi="Arial"/>
          <w:sz w:val="22"/>
          <w:szCs w:val="22"/>
        </w:rPr>
        <w:t xml:space="preserve">No constituye delito, pero puede tener repercusiones en el régimen de guarda y custodia si hay litigio activo.</w:t>
      </w:r>
    </w:p>
    <w:p>
      <w:pPr>
        <w:spacing w:after="0" w:before="60"/>
      </w:pPr>
      <w:r>
        <w:rPr>
          <w:sz w:val="22"/>
          <w:szCs w:val="22"/>
        </w:rPr>
        <w:t xml:space="preserve"/>
      </w:r>
    </w:p>
    <w:p>
      <w:pPr>
        <w:spacing w:after="60" w:before="60"/>
        <w:jc w:val="left"/>
      </w:pPr>
      <w:r>
        <w:rPr>
          <w:rFonts w:ascii="Arial" w:cs="Arial" w:eastAsia="Arial" w:hAnsi="Arial"/>
          <w:b/>
          <w:bCs/>
          <w:color w:val="C00000"/>
          <w:sz w:val="22"/>
          <w:szCs w:val="22"/>
        </w:rPr>
        <w:t xml:space="preserve">RECOMENDACIÓN: Este escenario debe evitarse en todo caso. Bajo ninguna circunstancia debe la madre proceder con la celebración sin acuerdo expreso del padre o resolución judicial favorable.</w:t>
      </w:r>
    </w:p>
    <w:p>
      <w:pPr>
        <w:spacing w:after="0" w:before="60"/>
      </w:pPr>
      <w:r>
        <w:rPr>
          <w:sz w:val="22"/>
          <w:szCs w:val="22"/>
        </w:rPr>
        <w:t xml:space="preserve"/>
      </w:r>
    </w:p>
    <w:p>
      <w:r>
        <w:br w:type="page"/>
      </w:r>
    </w:p>
    <w:p>
      <w:pPr>
        <w:pStyle w:val="Heading1"/>
        <w:spacing w:after="160" w:before="360"/>
      </w:pPr>
      <w:r>
        <w:rPr>
          <w:rFonts w:ascii="Arial" w:cs="Arial" w:eastAsia="Arial" w:hAnsi="Arial"/>
          <w:b/>
          <w:bCs/>
          <w:color w:val="1F4E79"/>
          <w:sz w:val="32"/>
          <w:szCs w:val="32"/>
        </w:rPr>
        <w:t xml:space="preserve">VII. BORRADOR DE RESPUESTA AL BUROFAX</w:t>
      </w:r>
    </w:p>
    <w:p>
      <w:pPr>
        <w:pBdr>
          <w:bottom w:val="single" w:color="2E5FA3" w:sz="6" w:space="1"/>
        </w:pBdr>
        <w:spacing w:after="120" w:before="120"/>
      </w:pPr>
      <w:r>
        <w:t xml:space="preserve"/>
      </w:r>
    </w:p>
    <w:p>
      <w:pPr>
        <w:spacing w:after="0" w:before="60"/>
      </w:pPr>
      <w:r>
        <w:rPr>
          <w:sz w:val="22"/>
          <w:szCs w:val="22"/>
        </w:rPr>
        <w:t xml:space="preserve"/>
      </w:r>
    </w:p>
    <w:p>
      <w:pPr>
        <w:spacing w:after="60" w:before="60"/>
        <w:jc w:val="left"/>
      </w:pPr>
      <w:r>
        <w:rPr>
          <w:rFonts w:ascii="Arial" w:cs="Arial" w:eastAsia="Arial" w:hAnsi="Arial"/>
          <w:sz w:val="22"/>
          <w:szCs w:val="22"/>
        </w:rPr>
        <w:t xml:space="preserve">El siguiente borrador está redactado desde la posición de la letrada/o de la madre. Adopta un tono formal pero constructivo, sin admitir vulneración del art. 156 CC, reconociendo el marco de la patria potestad conjunta, y proponiendo el acuerdo como vía prioritaria.</w:t>
      </w:r>
    </w:p>
    <w:p>
      <w:pPr>
        <w:spacing w:after="0" w:before="60"/>
      </w:pPr>
      <w:r>
        <w:rPr>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Borders>
              <w:top w:val="single" w:color="2E5FA3" w:sz="4"/>
              <w:left w:val="single" w:color="2E5FA3" w:sz="4"/>
              <w:bottom w:val="single" w:color="2E5FA3" w:sz="4"/>
              <w:right w:val="single" w:color="2E5FA3" w:sz="4"/>
            </w:tcBorders>
            <w:shd w:fill="D6E4F0" w:val="clear"/>
            <w:tcMar>
              <w:top w:type="dxa" w:w="200"/>
              <w:left w:type="dxa" w:w="300"/>
              <w:bottom w:type="dxa" w:w="200"/>
              <w:right w:type="dxa" w:w="300"/>
            </w:tcMar>
          </w:tcPr>
          <w:p>
            <w:pPr>
              <w:spacing w:after="40"/>
            </w:pPr>
            <w:r>
              <w:rPr>
                <w:rFonts w:ascii="Arial" w:cs="Arial" w:eastAsia="Arial" w:hAnsi="Arial"/>
                <w:b/>
                <w:bCs/>
                <w:sz w:val="22"/>
                <w:szCs w:val="22"/>
              </w:rPr>
              <w:t xml:space="preserve">BUROFAX CON CERTIFICACIÓN DE TEXTO Y ACUSE DE RECIBO</w:t>
            </w:r>
          </w:p>
          <w:p>
            <w:pPr>
              <w:spacing w:after="0" w:before="60"/>
            </w:pPr>
            <w:r>
              <w:rPr>
                <w:sz w:val="22"/>
                <w:szCs w:val="22"/>
              </w:rPr>
              <w:t xml:space="preserve"/>
            </w:r>
          </w:p>
          <w:p>
            <w:r>
              <w:rPr>
                <w:rFonts w:ascii="Arial" w:cs="Arial" w:eastAsia="Arial" w:hAnsi="Arial"/>
                <w:b/>
                <w:bCs/>
                <w:sz w:val="21"/>
                <w:szCs w:val="21"/>
              </w:rPr>
              <w:t xml:space="preserve">Remitente:</w:t>
            </w:r>
          </w:p>
          <w:p>
            <w:r>
              <w:rPr>
                <w:rFonts w:ascii="Arial" w:cs="Arial" w:eastAsia="Arial" w:hAnsi="Arial"/>
                <w:sz w:val="21"/>
                <w:szCs w:val="21"/>
              </w:rPr>
              <w:t xml:space="preserve">D./D.ª [NOMBRE Y APELLIDOS DEL/DE LA LETRADO/A REMITENTE]</w:t>
            </w:r>
          </w:p>
          <w:p>
            <w:r>
              <w:rPr>
                <w:rFonts w:ascii="Arial" w:cs="Arial" w:eastAsia="Arial" w:hAnsi="Arial"/>
                <w:sz w:val="21"/>
                <w:szCs w:val="21"/>
              </w:rPr>
              <w:t xml:space="preserve">Letrado/a del Ilustre Colegio de Abogados de [COLEGIO], n.º [NÚMERO]</w:t>
            </w:r>
          </w:p>
          <w:p>
            <w:r>
              <w:rPr>
                <w:rFonts w:ascii="Arial" w:cs="Arial" w:eastAsia="Arial" w:hAnsi="Arial"/>
                <w:sz w:val="21"/>
                <w:szCs w:val="21"/>
              </w:rPr>
              <w:t xml:space="preserve">Despacho profesional en [DIRECCIÓN]</w:t>
            </w:r>
          </w:p>
          <w:p>
            <w:r>
              <w:rPr>
                <w:rFonts w:ascii="Arial" w:cs="Arial" w:eastAsia="Arial" w:hAnsi="Arial"/>
                <w:sz w:val="21"/>
                <w:szCs w:val="21"/>
              </w:rPr>
              <w:t xml:space="preserve">En nombre y representación de D.ª [NOMBRE DE LA PROGENITORA]</w:t>
            </w:r>
          </w:p>
          <w:p>
            <w:pPr>
              <w:spacing w:after="0" w:before="60"/>
            </w:pPr>
            <w:r>
              <w:rPr>
                <w:sz w:val="22"/>
                <w:szCs w:val="22"/>
              </w:rPr>
              <w:t xml:space="preserve"/>
            </w:r>
          </w:p>
          <w:p>
            <w:r>
              <w:rPr>
                <w:rFonts w:ascii="Arial" w:cs="Arial" w:eastAsia="Arial" w:hAnsi="Arial"/>
                <w:b/>
                <w:bCs/>
                <w:sz w:val="21"/>
                <w:szCs w:val="21"/>
              </w:rPr>
              <w:t xml:space="preserve">Destinatario:</w:t>
            </w:r>
          </w:p>
          <w:p>
            <w:r>
              <w:rPr>
                <w:rFonts w:ascii="Arial" w:cs="Arial" w:eastAsia="Arial" w:hAnsi="Arial"/>
                <w:sz w:val="21"/>
                <w:szCs w:val="21"/>
              </w:rPr>
              <w:t xml:space="preserve">D./D.ª [NOMBRE Y APELLIDOS DEL/DE LA LETRADO/A DESTINATARIO/A]</w:t>
            </w:r>
          </w:p>
          <w:p>
            <w:r>
              <w:rPr>
                <w:rFonts w:ascii="Arial" w:cs="Arial" w:eastAsia="Arial" w:hAnsi="Arial"/>
                <w:sz w:val="21"/>
                <w:szCs w:val="21"/>
              </w:rPr>
              <w:t xml:space="preserve">Letrado/a del Ilustre Colegio de Abogados de [COLEGIO], n.º [NÚMERO]</w:t>
            </w:r>
          </w:p>
          <w:p>
            <w:r>
              <w:rPr>
                <w:rFonts w:ascii="Arial" w:cs="Arial" w:eastAsia="Arial" w:hAnsi="Arial"/>
                <w:sz w:val="21"/>
                <w:szCs w:val="21"/>
              </w:rPr>
              <w:t xml:space="preserve">Despacho profesional en [DIRECCIÓN]</w:t>
            </w:r>
          </w:p>
          <w:p>
            <w:r>
              <w:rPr>
                <w:rFonts w:ascii="Arial" w:cs="Arial" w:eastAsia="Arial" w:hAnsi="Arial"/>
                <w:sz w:val="21"/>
                <w:szCs w:val="21"/>
              </w:rPr>
              <w:t xml:space="preserve">En representación de D. [NOMBRE DEL PROGENITOR REMITENTE]</w:t>
            </w:r>
          </w:p>
          <w:p>
            <w:pPr>
              <w:spacing w:after="0" w:before="60"/>
            </w:pPr>
            <w:r>
              <w:rPr>
                <w:sz w:val="22"/>
                <w:szCs w:val="22"/>
              </w:rPr>
              <w:t xml:space="preserve"/>
            </w:r>
          </w:p>
          <w:p>
            <w:r>
              <w:rPr>
                <w:rFonts w:ascii="Arial" w:cs="Arial" w:eastAsia="Arial" w:hAnsi="Arial"/>
                <w:b/>
                <w:bCs/>
                <w:sz w:val="21"/>
                <w:szCs w:val="21"/>
              </w:rPr>
              <w:t xml:space="preserve">Asunto: </w:t>
            </w:r>
            <w:r>
              <w:rPr>
                <w:rFonts w:ascii="Arial" w:cs="Arial" w:eastAsia="Arial" w:hAnsi="Arial"/>
                <w:sz w:val="21"/>
                <w:szCs w:val="21"/>
              </w:rPr>
              <w:t xml:space="preserve">Respuesta al burofax de fecha [FECHA] — Formación religiosa del menor [NOMBRE DEL HIJO]</w:t>
            </w:r>
          </w:p>
          <w:p>
            <w:r>
              <w:rPr>
                <w:rFonts w:ascii="Arial" w:cs="Arial" w:eastAsia="Arial" w:hAnsi="Arial"/>
                <w:i/>
                <w:iCs/>
                <w:sz w:val="21"/>
                <w:szCs w:val="21"/>
              </w:rPr>
              <w:t xml:space="preserve">En [LOCALIDAD], a [FECHA]</w:t>
            </w:r>
          </w:p>
          <w:p>
            <w:pPr>
              <w:spacing w:after="0" w:before="60"/>
            </w:pPr>
            <w:r>
              <w:rPr>
                <w:sz w:val="22"/>
                <w:szCs w:val="22"/>
              </w:rPr>
              <w:t xml:space="preserve"/>
            </w:r>
          </w:p>
          <w:p>
            <w:r>
              <w:rPr>
                <w:rFonts w:ascii="Arial" w:cs="Arial" w:eastAsia="Arial" w:hAnsi="Arial"/>
                <w:sz w:val="21"/>
                <w:szCs w:val="21"/>
              </w:rPr>
              <w:t xml:space="preserve">Muy Sr./Sra. mío/a:</w:t>
            </w:r>
          </w:p>
          <w:p>
            <w:pPr>
              <w:spacing w:after="0" w:before="60"/>
            </w:pPr>
            <w:r>
              <w:rPr>
                <w:sz w:val="22"/>
                <w:szCs w:val="22"/>
              </w:rPr>
              <w:t xml:space="preserve"/>
            </w:r>
          </w:p>
          <w:p>
            <w:pPr>
              <w:jc w:val="both"/>
            </w:pPr>
            <w:r>
              <w:rPr>
                <w:rFonts w:ascii="Arial" w:cs="Arial" w:eastAsia="Arial" w:hAnsi="Arial"/>
                <w:sz w:val="21"/>
                <w:szCs w:val="21"/>
              </w:rPr>
              <w:t xml:space="preserve">En respuesta al burofax recibido en esta representación con fecha [FECHA], relativo al ejercicio de la patria potestad sobre el hijo menor común [NOMBRE DEL HIJO], de 9 años de edad, y en nombre y representación de D.ª [NOMBRE DE LA PROGENITORA], paso a exponer lo siguiente:</w:t>
            </w:r>
          </w:p>
          <w:p>
            <w:pPr>
              <w:spacing w:after="0" w:before="60"/>
            </w:pPr>
            <w:r>
              <w:rPr>
                <w:sz w:val="22"/>
                <w:szCs w:val="22"/>
              </w:rPr>
              <w:t xml:space="preserve"/>
            </w:r>
          </w:p>
          <w:p>
            <w:r>
              <w:rPr>
                <w:rFonts w:ascii="Arial" w:cs="Arial" w:eastAsia="Arial" w:hAnsi="Arial"/>
                <w:b/>
                <w:bCs/>
                <w:sz w:val="22"/>
                <w:szCs w:val="22"/>
              </w:rPr>
              <w:t xml:space="preserve">MANIFIESTA</w:t>
            </w:r>
          </w:p>
          <w:p>
            <w:pPr>
              <w:spacing w:after="0" w:before="60"/>
            </w:pPr>
            <w:r>
              <w:rPr>
                <w:sz w:val="22"/>
                <w:szCs w:val="22"/>
              </w:rPr>
              <w:t xml:space="preserve"/>
            </w:r>
          </w:p>
          <w:p>
            <w:r>
              <w:rPr>
                <w:rFonts w:ascii="Arial" w:cs="Arial" w:eastAsia="Arial" w:hAnsi="Arial"/>
                <w:b/>
                <w:bCs/>
                <w:sz w:val="21"/>
                <w:szCs w:val="21"/>
              </w:rPr>
              <w:t xml:space="preserve">PRIMERO.</w:t>
            </w:r>
            <w:r>
              <w:rPr>
                <w:rFonts w:ascii="Arial" w:cs="Arial" w:eastAsia="Arial" w:hAnsi="Arial"/>
                <w:sz w:val="21"/>
                <w:szCs w:val="21"/>
              </w:rPr>
              <w:t xml:space="preserve"> Mi representada reconoce y comparte el marco jurídico expuesto en el burofax recibido: la patria potestad sobre el menor [NOMBRE DEL HIJO] se ejerce conjuntamente por ambos progenitores, conforme al artículo 156 del Código Civil, y ello incluye las decisiones de especial relevancia para el menor, entre las que la jurisprudencia del Tribunal Supremo ha incluido los actos sacramentales de significación religiosa.</w:t>
            </w:r>
          </w:p>
          <w:p>
            <w:pPr>
              <w:spacing w:after="0" w:before="60"/>
            </w:pPr>
            <w:r>
              <w:rPr>
                <w:sz w:val="22"/>
                <w:szCs w:val="22"/>
              </w:rPr>
              <w:t xml:space="preserve"/>
            </w:r>
          </w:p>
          <w:p>
            <w:r>
              <w:rPr>
                <w:rFonts w:ascii="Arial" w:cs="Arial" w:eastAsia="Arial" w:hAnsi="Arial"/>
                <w:b/>
                <w:bCs/>
                <w:sz w:val="21"/>
                <w:szCs w:val="21"/>
              </w:rPr>
              <w:t xml:space="preserve">SEGUNDO.</w:t>
            </w:r>
            <w:r>
              <w:rPr>
                <w:rFonts w:ascii="Arial" w:cs="Arial" w:eastAsia="Arial" w:hAnsi="Arial"/>
                <w:sz w:val="21"/>
                <w:szCs w:val="21"/>
              </w:rPr>
              <w:t xml:space="preserve"> Mi representada desea poner en conocimiento de su colega que la inscripción del menor en las actividades de catequesis respondió en todo momento al interés del propio menor y a la voluntad expresada por el mismo, de acuerdo con su madurez y con el entorno familiar y social en que se desenvuelve, y no a ningún propósito de excluir al padre de las decisiones que le corresponden conjuntamente.</w:t>
            </w:r>
          </w:p>
          <w:p>
            <w:pPr>
              <w:spacing w:after="0" w:before="60"/>
            </w:pPr>
            <w:r>
              <w:rPr>
                <w:sz w:val="22"/>
                <w:szCs w:val="22"/>
              </w:rPr>
              <w:t xml:space="preserve"/>
            </w:r>
          </w:p>
          <w:p>
            <w:r>
              <w:rPr>
                <w:rFonts w:ascii="Arial" w:cs="Arial" w:eastAsia="Arial" w:hAnsi="Arial"/>
                <w:b/>
                <w:bCs/>
                <w:sz w:val="21"/>
                <w:szCs w:val="21"/>
              </w:rPr>
              <w:t xml:space="preserve">TERCERO.</w:t>
            </w:r>
            <w:r>
              <w:rPr>
                <w:rFonts w:ascii="Arial" w:cs="Arial" w:eastAsia="Arial" w:hAnsi="Arial"/>
                <w:sz w:val="21"/>
                <w:szCs w:val="21"/>
              </w:rPr>
              <w:t xml:space="preserve"> Con todo, mi representada reconoce que debió comunicar al padre la inscripción del menor en catequesis con carácter previo, y lamenta que dicha falta de comunicación haya generado la presente controversia, la cual, en ningún caso, debe repercutir negativamente en el bienestar del menor.</w:t>
            </w:r>
          </w:p>
          <w:p>
            <w:pPr>
              <w:spacing w:after="0" w:before="60"/>
            </w:pPr>
            <w:r>
              <w:rPr>
                <w:sz w:val="22"/>
                <w:szCs w:val="22"/>
              </w:rPr>
              <w:t xml:space="preserve"/>
            </w:r>
          </w:p>
          <w:p>
            <w:r>
              <w:rPr>
                <w:rFonts w:ascii="Arial" w:cs="Arial" w:eastAsia="Arial" w:hAnsi="Arial"/>
                <w:b/>
                <w:bCs/>
                <w:sz w:val="21"/>
                <w:szCs w:val="21"/>
              </w:rPr>
              <w:t xml:space="preserve">CUARTO.</w:t>
            </w:r>
            <w:r>
              <w:rPr>
                <w:rFonts w:ascii="Arial" w:cs="Arial" w:eastAsia="Arial" w:hAnsi="Arial"/>
                <w:sz w:val="21"/>
                <w:szCs w:val="21"/>
              </w:rPr>
              <w:t xml:space="preserve"> En relación con la cuestión de fondo, mi representada desea señalar que el propio menor, con nueve años de edad y madurez acorde a su desarrollo, ha manifestado de forma reiterada su deseo de continuar la catequesis y de recibir el sacramento de la Primera Comunión. Esta voluntad del menor es, conforme al artículo 9 de la Ley Orgánica 1/1996, de Protección Jurídica del Menor, un elemento que debe tenerse en consideración en toda decisión que afecte a su persona.</w:t>
            </w:r>
          </w:p>
          <w:p>
            <w:pPr>
              <w:spacing w:after="0" w:before="60"/>
            </w:pPr>
            <w:r>
              <w:rPr>
                <w:sz w:val="22"/>
                <w:szCs w:val="22"/>
              </w:rPr>
              <w:t xml:space="preserve"/>
            </w:r>
          </w:p>
          <w:p>
            <w:r>
              <w:rPr>
                <w:rFonts w:ascii="Arial" w:cs="Arial" w:eastAsia="Arial" w:hAnsi="Arial"/>
                <w:b/>
                <w:bCs/>
                <w:sz w:val="21"/>
                <w:szCs w:val="21"/>
              </w:rPr>
              <w:t xml:space="preserve">QUINTO.</w:t>
            </w:r>
            <w:r>
              <w:rPr>
                <w:rFonts w:ascii="Arial" w:cs="Arial" w:eastAsia="Arial" w:hAnsi="Arial"/>
                <w:sz w:val="21"/>
                <w:szCs w:val="21"/>
              </w:rPr>
              <w:t xml:space="preserve"> En virtud de todo lo anterior, y animada exclusivamente por el superior interés del menor, mi representada propone con carácter prioritario y urgente:</w:t>
            </w:r>
          </w:p>
          <w:p>
            <w:pPr>
              <w:spacing w:after="0" w:before="60"/>
            </w:pPr>
            <w:r>
              <w:rPr>
                <w:sz w:val="22"/>
                <w:szCs w:val="22"/>
              </w:rPr>
              <w:t xml:space="preserve"/>
            </w:r>
          </w:p>
          <w:p>
            <w:pPr>
              <w:pStyle w:val="ListParagraph"/>
              <w:numPr>
                <w:ilvl w:val="0"/>
                <w:numId w:val="4"/>
              </w:numPr>
              <w:spacing w:after="40" w:before="40"/>
            </w:pPr>
            <w:r>
              <w:rPr>
                <w:rFonts w:ascii="Arial" w:cs="Arial" w:eastAsia="Arial" w:hAnsi="Arial"/>
                <w:sz w:val="21"/>
                <w:szCs w:val="21"/>
              </w:rPr>
              <w:t xml:space="preserve">La celebracion de una reunion entre los progenitores, con o sin intervencion de sus respectivos letrados, con el fin de alcanzar un acuerdo expreso sobre la continuidad de la catequesis y las condiciones en que se celebraria la Primera Comunion.</w:t>
            </w:r>
          </w:p>
          <w:p>
            <w:pPr>
              <w:pStyle w:val="ListParagraph"/>
              <w:numPr>
                <w:ilvl w:val="0"/>
                <w:numId w:val="4"/>
              </w:numPr>
              <w:spacing w:after="40" w:before="40"/>
            </w:pPr>
            <w:r>
              <w:rPr>
                <w:rFonts w:ascii="Arial" w:cs="Arial" w:eastAsia="Arial" w:hAnsi="Arial"/>
                <w:sz w:val="21"/>
                <w:szCs w:val="21"/>
              </w:rPr>
              <w:t xml:space="preserve">En caso de que dicho dialogo directo no sea posible en los plazos requeridos habida cuenta de la proximidad de la fecha de la comunion, la derivacion del asunto a un proceso de mediacion familiar, de conformidad con la Ley 5/2012, de mediacion en asuntos civiles y mercantiles.</w:t>
            </w:r>
          </w:p>
          <w:p>
            <w:pPr>
              <w:pStyle w:val="ListParagraph"/>
              <w:numPr>
                <w:ilvl w:val="0"/>
                <w:numId w:val="4"/>
              </w:numPr>
              <w:spacing w:after="40" w:before="40"/>
            </w:pPr>
            <w:r>
              <w:rPr>
                <w:rFonts w:ascii="Arial" w:cs="Arial" w:eastAsia="Arial" w:hAnsi="Arial"/>
                <w:sz w:val="21"/>
                <w:szCs w:val="21"/>
              </w:rPr>
              <w:t xml:space="preserve">Como medida de caracter inmediato y hasta que se alcance acuerdo o resolucion, el mantenimiento del statu quo actual, de modo que el menor continue asistiendo a las actividades de catequesis ya iniciadas, sin que se adopte ninguna decision definitiva e irreversible sin el previo acuerdo entre los progenitores o, subsidiariamente, sin resolucion judicial al efecto.</w:t>
            </w:r>
          </w:p>
          <w:p>
            <w:pPr>
              <w:spacing w:after="0" w:before="60"/>
            </w:pPr>
            <w:r>
              <w:rPr>
                <w:sz w:val="22"/>
                <w:szCs w:val="22"/>
              </w:rPr>
              <w:t xml:space="preserve"/>
            </w:r>
          </w:p>
          <w:p>
            <w:r>
              <w:rPr>
                <w:rFonts w:ascii="Arial" w:cs="Arial" w:eastAsia="Arial" w:hAnsi="Arial"/>
                <w:b/>
                <w:bCs/>
                <w:sz w:val="22"/>
                <w:szCs w:val="22"/>
              </w:rPr>
              <w:t xml:space="preserve">SOLICITA</w:t>
            </w:r>
          </w:p>
          <w:p>
            <w:pPr>
              <w:spacing w:after="0" w:before="60"/>
            </w:pPr>
            <w:r>
              <w:rPr>
                <w:sz w:val="22"/>
                <w:szCs w:val="22"/>
              </w:rPr>
              <w:t xml:space="preserve"/>
            </w:r>
          </w:p>
          <w:p>
            <w:pPr>
              <w:jc w:val="both"/>
            </w:pPr>
            <w:r>
              <w:rPr>
                <w:rFonts w:ascii="Arial" w:cs="Arial" w:eastAsia="Arial" w:hAnsi="Arial"/>
                <w:sz w:val="21"/>
                <w:szCs w:val="21"/>
              </w:rPr>
              <w:t xml:space="preserve">Que se tenga por contestado en tiempo y forma el burofax de referencia, y que se comunique a la mayor brevedad posible la disponibilidad de su representado para iniciar el diálogo propuesto, dado el factor temporal que concurre en el presente asunto.</w:t>
            </w:r>
          </w:p>
          <w:p>
            <w:pPr>
              <w:spacing w:after="0" w:before="60"/>
            </w:pPr>
            <w:r>
              <w:rPr>
                <w:sz w:val="22"/>
                <w:szCs w:val="22"/>
              </w:rPr>
              <w:t xml:space="preserve"/>
            </w:r>
          </w:p>
          <w:p>
            <w:pPr>
              <w:jc w:val="both"/>
            </w:pPr>
            <w:r>
              <w:rPr>
                <w:rFonts w:ascii="Arial" w:cs="Arial" w:eastAsia="Arial" w:hAnsi="Arial"/>
                <w:sz w:val="21"/>
                <w:szCs w:val="21"/>
              </w:rPr>
              <w:t xml:space="preserve">A tales efectos, esta representación queda a su entera disposición para cuantas comunicaciones resulten necesarias con el fin de resolver la presente controversia de la forma más beneficiosa posible para el menor.</w:t>
            </w:r>
          </w:p>
          <w:p>
            <w:pPr>
              <w:spacing w:after="0" w:before="60"/>
            </w:pPr>
            <w:r>
              <w:rPr>
                <w:sz w:val="22"/>
                <w:szCs w:val="22"/>
              </w:rPr>
              <w:t xml:space="preserve"/>
            </w:r>
          </w:p>
          <w:p>
            <w:r>
              <w:rPr>
                <w:rFonts w:ascii="Arial" w:cs="Arial" w:eastAsia="Arial" w:hAnsi="Arial"/>
                <w:sz w:val="21"/>
                <w:szCs w:val="21"/>
              </w:rPr>
              <w:t xml:space="preserve">Atentamente,</w:t>
            </w:r>
          </w:p>
          <w:p>
            <w:pPr>
              <w:spacing w:after="0" w:before="60"/>
            </w:pPr>
            <w:r>
              <w:rPr>
                <w:sz w:val="22"/>
                <w:szCs w:val="22"/>
              </w:rPr>
              <w:t xml:space="preserve"/>
            </w:r>
          </w:p>
          <w:p>
            <w:r>
              <w:rPr>
                <w:rFonts w:ascii="Arial" w:cs="Arial" w:eastAsia="Arial" w:hAnsi="Arial"/>
                <w:sz w:val="21"/>
                <w:szCs w:val="21"/>
              </w:rPr>
              <w:t xml:space="preserve">Fdo.: D./D.ª [NOMBRE Y APELLIDOS DEL/DE LA LETRADO/A]</w:t>
            </w:r>
          </w:p>
          <w:p>
            <w:r>
              <w:rPr>
                <w:rFonts w:ascii="Arial" w:cs="Arial" w:eastAsia="Arial" w:hAnsi="Arial"/>
                <w:sz w:val="21"/>
                <w:szCs w:val="21"/>
              </w:rPr>
              <w:t xml:space="preserve">Letrado/a del Ilustre Colegio de Abogados de [COLEGIO]</w:t>
            </w:r>
          </w:p>
        </w:tc>
      </w:tr>
    </w:tbl>
    <w:p>
      <w:pPr>
        <w:spacing w:after="0" w:before="60"/>
      </w:pPr>
      <w:r>
        <w:rPr>
          <w:sz w:val="22"/>
          <w:szCs w:val="22"/>
        </w:rPr>
        <w:t xml:space="preserve"/>
      </w:r>
    </w:p>
    <w:p>
      <w:r>
        <w:br w:type="page"/>
      </w:r>
    </w:p>
    <w:p>
      <w:pPr>
        <w:pStyle w:val="Heading1"/>
        <w:spacing w:after="160" w:before="360"/>
      </w:pPr>
      <w:r>
        <w:rPr>
          <w:rFonts w:ascii="Arial" w:cs="Arial" w:eastAsia="Arial" w:hAnsi="Arial"/>
          <w:b/>
          <w:bCs/>
          <w:color w:val="1F4E79"/>
          <w:sz w:val="32"/>
          <w:szCs w:val="32"/>
        </w:rPr>
        <w:t xml:space="preserve">VIII. ARGUMENTARIO DE DEFENSA CLAVE</w:t>
      </w:r>
    </w:p>
    <w:p>
      <w:pPr>
        <w:pBdr>
          <w:bottom w:val="single" w:color="2E5FA3" w:sz="6" w:space="1"/>
        </w:pBdr>
        <w:spacing w:after="120" w:before="120"/>
      </w:pPr>
      <w:r>
        <w:t xml:space="preserve"/>
      </w:r>
    </w:p>
    <w:p>
      <w:pPr>
        <w:spacing w:after="0" w:before="60"/>
      </w:pPr>
      <w:r>
        <w:rPr>
          <w:sz w:val="22"/>
          <w:szCs w:val="22"/>
        </w:rPr>
        <w:t xml:space="preserve"/>
      </w:r>
    </w:p>
    <w:p>
      <w:pPr>
        <w:spacing w:after="60" w:before="60"/>
        <w:jc w:val="left"/>
      </w:pPr>
      <w:r>
        <w:rPr>
          <w:rFonts w:ascii="Arial" w:cs="Arial" w:eastAsia="Arial" w:hAnsi="Arial"/>
          <w:sz w:val="22"/>
          <w:szCs w:val="22"/>
        </w:rPr>
        <w:t xml:space="preserve">En caso de judicialización, los argumentos siguientes deben prepararse y documentarse desde ahora:</w:t>
      </w:r>
    </w:p>
    <w:p>
      <w:pPr>
        <w:spacing w:after="0" w:before="60"/>
      </w:pPr>
      <w:r>
        <w:rPr>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c>
          <w:tcPr>
            <w:tcW w:type="dxa" w:w="3120"/>
            <w:tcBorders>
              <w:top w:val="single" w:color="2E5FA3" w:sz="4"/>
              <w:left w:val="single" w:color="2E5FA3" w:sz="4"/>
              <w:bottom w:val="single" w:color="2E5FA3" w:sz="4"/>
              <w:right w:val="single" w:color="2E5FA3" w:sz="4"/>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Factor</w:t>
            </w:r>
          </w:p>
        </w:tc>
        <w:tc>
          <w:tcPr>
            <w:tcW w:type="dxa" w:w="3120"/>
            <w:tcBorders>
              <w:top w:val="single" w:color="2E5FA3" w:sz="4"/>
              <w:left w:val="single" w:color="2E5FA3" w:sz="4"/>
              <w:bottom w:val="single" w:color="2E5FA3" w:sz="4"/>
              <w:right w:val="single" w:color="2E5FA3" w:sz="4"/>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Posición del Padre</w:t>
            </w:r>
          </w:p>
        </w:tc>
        <w:tc>
          <w:tcPr>
            <w:tcW w:type="dxa" w:w="3120"/>
            <w:tcBorders>
              <w:top w:val="single" w:color="2E5FA3" w:sz="4"/>
              <w:left w:val="single" w:color="2E5FA3" w:sz="4"/>
              <w:bottom w:val="single" w:color="2E5FA3" w:sz="4"/>
              <w:right w:val="single" w:color="2E5FA3" w:sz="4"/>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Posición de la Madre</w:t>
            </w:r>
          </w:p>
        </w:tc>
      </w:tr>
      <w:tr>
        <w:tc>
          <w:tcPr>
            <w:tcW w:type="dxa" w:w="3120"/>
            <w:tcBorders>
              <w:top w:val="single" w:color="AAAAAA" w:sz="4"/>
              <w:left w:val="single" w:color="AAAAAA" w:sz="4"/>
              <w:bottom w:val="single" w:color="AAAAAA" w:sz="4"/>
              <w:right w:val="single" w:color="AAAAAA" w:sz="4"/>
            </w:tcBorders>
            <w:shd w:fill="F2F2F2" w:val="clear"/>
            <w:tcMar>
              <w:top w:type="dxa" w:w="70"/>
              <w:left w:type="dxa" w:w="120"/>
              <w:bottom w:type="dxa" w:w="70"/>
              <w:right w:type="dxa" w:w="120"/>
            </w:tcMar>
          </w:tcPr>
          <w:p>
            <w:r>
              <w:rPr>
                <w:rFonts w:ascii="Arial" w:cs="Arial" w:eastAsia="Arial" w:hAnsi="Arial"/>
                <w:b/>
                <w:bCs/>
                <w:sz w:val="19"/>
                <w:szCs w:val="19"/>
              </w:rPr>
              <w:t xml:space="preserve">Voluntad del menor</w:t>
            </w:r>
          </w:p>
        </w:tc>
        <w:tc>
          <w:tcPr>
            <w:tcW w:type="dxa" w:w="3120"/>
            <w:tcBorders>
              <w:top w:val="single" w:color="AAAAAA" w:sz="4"/>
              <w:left w:val="single" w:color="AAAAAA" w:sz="4"/>
              <w:bottom w:val="single" w:color="AAAAAA" w:sz="4"/>
              <w:right w:val="single" w:color="AAAAAA" w:sz="4"/>
            </w:tcBorders>
            <w:shd w:fill="F2F2F2" w:val="clear"/>
            <w:tcMar>
              <w:top w:type="dxa" w:w="70"/>
              <w:left w:type="dxa" w:w="120"/>
              <w:bottom w:type="dxa" w:w="70"/>
              <w:right w:type="dxa" w:w="120"/>
            </w:tcMar>
          </w:tcPr>
          <w:p>
            <w:r>
              <w:rPr>
                <w:rFonts w:ascii="Arial" w:cs="Arial" w:eastAsia="Arial" w:hAnsi="Arial"/>
                <w:sz w:val="19"/>
                <w:szCs w:val="19"/>
              </w:rPr>
              <w:t xml:space="preserve">No acreditada o inexistente</w:t>
            </w:r>
          </w:p>
        </w:tc>
        <w:tc>
          <w:tcPr>
            <w:tcW w:type="dxa" w:w="3120"/>
            <w:tcBorders>
              <w:top w:val="single" w:color="AAAAAA" w:sz="4"/>
              <w:left w:val="single" w:color="AAAAAA" w:sz="4"/>
              <w:bottom w:val="single" w:color="AAAAAA" w:sz="4"/>
              <w:right w:val="single" w:color="AAAAAA" w:sz="4"/>
            </w:tcBorders>
            <w:shd w:fill="F2F2F2" w:val="clear"/>
            <w:tcMar>
              <w:top w:type="dxa" w:w="70"/>
              <w:left w:type="dxa" w:w="120"/>
              <w:bottom w:type="dxa" w:w="70"/>
              <w:right w:type="dxa" w:w="120"/>
            </w:tcMar>
          </w:tcPr>
          <w:p>
            <w:r>
              <w:rPr>
                <w:rFonts w:ascii="Arial" w:cs="Arial" w:eastAsia="Arial" w:hAnsi="Arial"/>
                <w:sz w:val="19"/>
                <w:szCs w:val="19"/>
              </w:rPr>
              <w:t xml:space="preserve">Clave: documentar expresiones del menor de forma natural (sin instrumentalizarlo)</w:t>
            </w:r>
          </w:p>
        </w:tc>
      </w:tr>
      <w:tr>
        <w:tc>
          <w:tcPr>
            <w:tcW w:type="dxa" w:w="3120"/>
            <w:tcBorders>
              <w:top w:val="single" w:color="AAAAAA" w:sz="4"/>
              <w:left w:val="single" w:color="AAAAAA" w:sz="4"/>
              <w:bottom w:val="single" w:color="AAAAAA" w:sz="4"/>
              <w:right w:val="single" w:color="AAAAAA" w:sz="4"/>
            </w:tcBorders>
            <w:shd w:fill="FFFFFF" w:val="clear"/>
            <w:tcMar>
              <w:top w:type="dxa" w:w="70"/>
              <w:left w:type="dxa" w:w="120"/>
              <w:bottom w:type="dxa" w:w="70"/>
              <w:right w:type="dxa" w:w="120"/>
            </w:tcMar>
          </w:tcPr>
          <w:p>
            <w:r>
              <w:rPr>
                <w:rFonts w:ascii="Arial" w:cs="Arial" w:eastAsia="Arial" w:hAnsi="Arial"/>
                <w:b/>
                <w:bCs/>
                <w:sz w:val="19"/>
                <w:szCs w:val="19"/>
              </w:rPr>
              <w:t xml:space="preserve">Continuidad de la catequesis</w:t>
            </w:r>
          </w:p>
        </w:tc>
        <w:tc>
          <w:tcPr>
            <w:tcW w:type="dxa" w:w="3120"/>
            <w:tcBorders>
              <w:top w:val="single" w:color="AAAAAA" w:sz="4"/>
              <w:left w:val="single" w:color="AAAAAA" w:sz="4"/>
              <w:bottom w:val="single" w:color="AAAAAA" w:sz="4"/>
              <w:right w:val="single" w:color="AAAAAA" w:sz="4"/>
            </w:tcBorders>
            <w:shd w:fill="FFFFFF" w:val="clear"/>
            <w:tcMar>
              <w:top w:type="dxa" w:w="70"/>
              <w:left w:type="dxa" w:w="120"/>
              <w:bottom w:type="dxa" w:w="70"/>
              <w:right w:type="dxa" w:w="120"/>
            </w:tcMar>
          </w:tcPr>
          <w:p>
            <w:r>
              <w:rPr>
                <w:rFonts w:ascii="Arial" w:cs="Arial" w:eastAsia="Arial" w:hAnsi="Arial"/>
                <w:sz w:val="19"/>
                <w:szCs w:val="19"/>
              </w:rPr>
              <w:t xml:space="preserve">Solicita suspensión inmediata</w:t>
            </w:r>
          </w:p>
        </w:tc>
        <w:tc>
          <w:tcPr>
            <w:tcW w:type="dxa" w:w="3120"/>
            <w:tcBorders>
              <w:top w:val="single" w:color="AAAAAA" w:sz="4"/>
              <w:left w:val="single" w:color="AAAAAA" w:sz="4"/>
              <w:bottom w:val="single" w:color="AAAAAA" w:sz="4"/>
              <w:right w:val="single" w:color="AAAAAA" w:sz="4"/>
            </w:tcBorders>
            <w:shd w:fill="FFFFFF" w:val="clear"/>
            <w:tcMar>
              <w:top w:type="dxa" w:w="70"/>
              <w:left w:type="dxa" w:w="120"/>
              <w:bottom w:type="dxa" w:w="70"/>
              <w:right w:type="dxa" w:w="120"/>
            </w:tcMar>
          </w:tcPr>
          <w:p>
            <w:r>
              <w:rPr>
                <w:rFonts w:ascii="Arial" w:cs="Arial" w:eastAsia="Arial" w:hAnsi="Arial"/>
                <w:sz w:val="19"/>
                <w:szCs w:val="19"/>
              </w:rPr>
              <w:t xml:space="preserve">Interrumpir el proceso ya iniciado puede ser contrario al interés del menor (STS 465/2015)</w:t>
            </w:r>
          </w:p>
        </w:tc>
      </w:tr>
      <w:tr>
        <w:tc>
          <w:tcPr>
            <w:tcW w:type="dxa" w:w="3120"/>
            <w:tcBorders>
              <w:top w:val="single" w:color="AAAAAA" w:sz="4"/>
              <w:left w:val="single" w:color="AAAAAA" w:sz="4"/>
              <w:bottom w:val="single" w:color="AAAAAA" w:sz="4"/>
              <w:right w:val="single" w:color="AAAAAA" w:sz="4"/>
            </w:tcBorders>
            <w:shd w:fill="F2F2F2" w:val="clear"/>
            <w:tcMar>
              <w:top w:type="dxa" w:w="70"/>
              <w:left w:type="dxa" w:w="120"/>
              <w:bottom w:type="dxa" w:w="70"/>
              <w:right w:type="dxa" w:w="120"/>
            </w:tcMar>
          </w:tcPr>
          <w:p>
            <w:r>
              <w:rPr>
                <w:rFonts w:ascii="Arial" w:cs="Arial" w:eastAsia="Arial" w:hAnsi="Arial"/>
                <w:b/>
                <w:bCs/>
                <w:sz w:val="19"/>
                <w:szCs w:val="19"/>
              </w:rPr>
              <w:t xml:space="preserve">Acuerdo tácito previo</w:t>
            </w:r>
          </w:p>
        </w:tc>
        <w:tc>
          <w:tcPr>
            <w:tcW w:type="dxa" w:w="3120"/>
            <w:tcBorders>
              <w:top w:val="single" w:color="AAAAAA" w:sz="4"/>
              <w:left w:val="single" w:color="AAAAAA" w:sz="4"/>
              <w:bottom w:val="single" w:color="AAAAAA" w:sz="4"/>
              <w:right w:val="single" w:color="AAAAAA" w:sz="4"/>
            </w:tcBorders>
            <w:shd w:fill="F2F2F2" w:val="clear"/>
            <w:tcMar>
              <w:top w:type="dxa" w:w="70"/>
              <w:left w:type="dxa" w:w="120"/>
              <w:bottom w:type="dxa" w:w="70"/>
              <w:right w:type="dxa" w:w="120"/>
            </w:tcMar>
          </w:tcPr>
          <w:p>
            <w:r>
              <w:rPr>
                <w:rFonts w:ascii="Arial" w:cs="Arial" w:eastAsia="Arial" w:hAnsi="Arial"/>
                <w:sz w:val="19"/>
                <w:szCs w:val="19"/>
              </w:rPr>
              <w:t xml:space="preserve">Niega cualquier acuerdo</w:t>
            </w:r>
          </w:p>
        </w:tc>
        <w:tc>
          <w:tcPr>
            <w:tcW w:type="dxa" w:w="3120"/>
            <w:tcBorders>
              <w:top w:val="single" w:color="AAAAAA" w:sz="4"/>
              <w:left w:val="single" w:color="AAAAAA" w:sz="4"/>
              <w:bottom w:val="single" w:color="AAAAAA" w:sz="4"/>
              <w:right w:val="single" w:color="AAAAAA" w:sz="4"/>
            </w:tcBorders>
            <w:shd w:fill="F2F2F2" w:val="clear"/>
            <w:tcMar>
              <w:top w:type="dxa" w:w="70"/>
              <w:left w:type="dxa" w:w="120"/>
              <w:bottom w:type="dxa" w:w="70"/>
              <w:right w:type="dxa" w:w="120"/>
            </w:tcMar>
          </w:tcPr>
          <w:p>
            <w:r>
              <w:rPr>
                <w:rFonts w:ascii="Arial" w:cs="Arial" w:eastAsia="Arial" w:hAnsi="Arial"/>
                <w:sz w:val="19"/>
                <w:szCs w:val="19"/>
              </w:rPr>
              <w:t xml:space="preserve">Acreditar conversaciones, mensajes o actitud pasiva previa del padre ante el tema religioso</w:t>
            </w:r>
          </w:p>
        </w:tc>
      </w:tr>
      <w:tr>
        <w:tc>
          <w:tcPr>
            <w:tcW w:type="dxa" w:w="3120"/>
            <w:tcBorders>
              <w:top w:val="single" w:color="AAAAAA" w:sz="4"/>
              <w:left w:val="single" w:color="AAAAAA" w:sz="4"/>
              <w:bottom w:val="single" w:color="AAAAAA" w:sz="4"/>
              <w:right w:val="single" w:color="AAAAAA" w:sz="4"/>
            </w:tcBorders>
            <w:shd w:fill="FFFFFF" w:val="clear"/>
            <w:tcMar>
              <w:top w:type="dxa" w:w="70"/>
              <w:left w:type="dxa" w:w="120"/>
              <w:bottom w:type="dxa" w:w="70"/>
              <w:right w:type="dxa" w:w="120"/>
            </w:tcMar>
          </w:tcPr>
          <w:p>
            <w:r>
              <w:rPr>
                <w:rFonts w:ascii="Arial" w:cs="Arial" w:eastAsia="Arial" w:hAnsi="Arial"/>
                <w:b/>
                <w:bCs/>
                <w:sz w:val="19"/>
                <w:szCs w:val="19"/>
              </w:rPr>
              <w:t xml:space="preserve">Objeción del padre</w:t>
            </w:r>
          </w:p>
        </w:tc>
        <w:tc>
          <w:tcPr>
            <w:tcW w:type="dxa" w:w="3120"/>
            <w:tcBorders>
              <w:top w:val="single" w:color="AAAAAA" w:sz="4"/>
              <w:left w:val="single" w:color="AAAAAA" w:sz="4"/>
              <w:bottom w:val="single" w:color="AAAAAA" w:sz="4"/>
              <w:right w:val="single" w:color="AAAAAA" w:sz="4"/>
            </w:tcBorders>
            <w:shd w:fill="FFFFFF" w:val="clear"/>
            <w:tcMar>
              <w:top w:type="dxa" w:w="70"/>
              <w:left w:type="dxa" w:w="120"/>
              <w:bottom w:type="dxa" w:w="70"/>
              <w:right w:type="dxa" w:w="120"/>
            </w:tcMar>
          </w:tcPr>
          <w:p>
            <w:r>
              <w:rPr>
                <w:rFonts w:ascii="Arial" w:cs="Arial" w:eastAsia="Arial" w:hAnsi="Arial"/>
                <w:sz w:val="19"/>
                <w:szCs w:val="19"/>
              </w:rPr>
              <w:t xml:space="preserve">No acreditada formalmente</w:t>
            </w:r>
          </w:p>
        </w:tc>
        <w:tc>
          <w:tcPr>
            <w:tcW w:type="dxa" w:w="3120"/>
            <w:tcBorders>
              <w:top w:val="single" w:color="AAAAAA" w:sz="4"/>
              <w:left w:val="single" w:color="AAAAAA" w:sz="4"/>
              <w:bottom w:val="single" w:color="AAAAAA" w:sz="4"/>
              <w:right w:val="single" w:color="AAAAAA" w:sz="4"/>
            </w:tcBorders>
            <w:shd w:fill="FFFFFF" w:val="clear"/>
            <w:tcMar>
              <w:top w:type="dxa" w:w="70"/>
              <w:left w:type="dxa" w:w="120"/>
              <w:bottom w:type="dxa" w:w="70"/>
              <w:right w:type="dxa" w:w="120"/>
            </w:tcMar>
          </w:tcPr>
          <w:p>
            <w:r>
              <w:rPr>
                <w:rFonts w:ascii="Arial" w:cs="Arial" w:eastAsia="Arial" w:hAnsi="Arial"/>
                <w:sz w:val="19"/>
                <w:szCs w:val="19"/>
              </w:rPr>
              <w:t xml:space="preserve">Exigir al padre que concrete su objeción: ¿se opone por principio o por falta de consulta?</w:t>
            </w:r>
          </w:p>
        </w:tc>
      </w:tr>
      <w:tr>
        <w:tc>
          <w:tcPr>
            <w:tcW w:type="dxa" w:w="3120"/>
            <w:tcBorders>
              <w:top w:val="single" w:color="AAAAAA" w:sz="4"/>
              <w:left w:val="single" w:color="AAAAAA" w:sz="4"/>
              <w:bottom w:val="single" w:color="AAAAAA" w:sz="4"/>
              <w:right w:val="single" w:color="AAAAAA" w:sz="4"/>
            </w:tcBorders>
            <w:shd w:fill="F2F2F2" w:val="clear"/>
            <w:tcMar>
              <w:top w:type="dxa" w:w="70"/>
              <w:left w:type="dxa" w:w="120"/>
              <w:bottom w:type="dxa" w:w="70"/>
              <w:right w:type="dxa" w:w="120"/>
            </w:tcMar>
          </w:tcPr>
          <w:p>
            <w:r>
              <w:rPr>
                <w:rFonts w:ascii="Arial" w:cs="Arial" w:eastAsia="Arial" w:hAnsi="Arial"/>
                <w:b/>
                <w:bCs/>
                <w:sz w:val="19"/>
                <w:szCs w:val="19"/>
              </w:rPr>
              <w:t xml:space="preserve">Interés superior del menor</w:t>
            </w:r>
          </w:p>
        </w:tc>
        <w:tc>
          <w:tcPr>
            <w:tcW w:type="dxa" w:w="3120"/>
            <w:tcBorders>
              <w:top w:val="single" w:color="AAAAAA" w:sz="4"/>
              <w:left w:val="single" w:color="AAAAAA" w:sz="4"/>
              <w:bottom w:val="single" w:color="AAAAAA" w:sz="4"/>
              <w:right w:val="single" w:color="AAAAAA" w:sz="4"/>
            </w:tcBorders>
            <w:shd w:fill="F2F2F2" w:val="clear"/>
            <w:tcMar>
              <w:top w:type="dxa" w:w="70"/>
              <w:left w:type="dxa" w:w="120"/>
              <w:bottom w:type="dxa" w:w="70"/>
              <w:right w:type="dxa" w:w="120"/>
            </w:tcMar>
          </w:tcPr>
          <w:p>
            <w:r>
              <w:rPr>
                <w:rFonts w:ascii="Arial" w:cs="Arial" w:eastAsia="Arial" w:hAnsi="Arial"/>
                <w:sz w:val="19"/>
                <w:szCs w:val="19"/>
              </w:rPr>
              <w:t xml:space="preserve">No es criterio exclusivo suyo</w:t>
            </w:r>
          </w:p>
        </w:tc>
        <w:tc>
          <w:tcPr>
            <w:tcW w:type="dxa" w:w="3120"/>
            <w:tcBorders>
              <w:top w:val="single" w:color="AAAAAA" w:sz="4"/>
              <w:left w:val="single" w:color="AAAAAA" w:sz="4"/>
              <w:bottom w:val="single" w:color="AAAAAA" w:sz="4"/>
              <w:right w:val="single" w:color="AAAAAA" w:sz="4"/>
            </w:tcBorders>
            <w:shd w:fill="F2F2F2" w:val="clear"/>
            <w:tcMar>
              <w:top w:type="dxa" w:w="70"/>
              <w:left w:type="dxa" w:w="120"/>
              <w:bottom w:type="dxa" w:w="70"/>
              <w:right w:type="dxa" w:w="120"/>
            </w:tcMar>
          </w:tcPr>
          <w:p>
            <w:r>
              <w:rPr>
                <w:rFonts w:ascii="Arial" w:cs="Arial" w:eastAsia="Arial" w:hAnsi="Arial"/>
                <w:sz w:val="19"/>
                <w:szCs w:val="19"/>
              </w:rPr>
              <w:t xml:space="preserve">Invocar art. 2 LOPJM: el interés del menor incluye su entorno social y sus propios deseos</w:t>
            </w:r>
          </w:p>
        </w:tc>
      </w:tr>
      <w:tr>
        <w:tc>
          <w:tcPr>
            <w:tcW w:type="dxa" w:w="3120"/>
            <w:tcBorders>
              <w:top w:val="single" w:color="AAAAAA" w:sz="4"/>
              <w:left w:val="single" w:color="AAAAAA" w:sz="4"/>
              <w:bottom w:val="single" w:color="AAAAAA" w:sz="4"/>
              <w:right w:val="single" w:color="AAAAAA" w:sz="4"/>
            </w:tcBorders>
            <w:shd w:fill="FFFFFF" w:val="clear"/>
            <w:tcMar>
              <w:top w:type="dxa" w:w="70"/>
              <w:left w:type="dxa" w:w="120"/>
              <w:bottom w:type="dxa" w:w="70"/>
              <w:right w:type="dxa" w:w="120"/>
            </w:tcMar>
          </w:tcPr>
          <w:p>
            <w:r>
              <w:rPr>
                <w:rFonts w:ascii="Arial" w:cs="Arial" w:eastAsia="Arial" w:hAnsi="Arial"/>
                <w:b/>
                <w:bCs/>
                <w:sz w:val="19"/>
                <w:szCs w:val="19"/>
              </w:rPr>
              <w:t xml:space="preserve">Exploración judicial</w:t>
            </w:r>
          </w:p>
        </w:tc>
        <w:tc>
          <w:tcPr>
            <w:tcW w:type="dxa" w:w="3120"/>
            <w:tcBorders>
              <w:top w:val="single" w:color="AAAAAA" w:sz="4"/>
              <w:left w:val="single" w:color="AAAAAA" w:sz="4"/>
              <w:bottom w:val="single" w:color="AAAAAA" w:sz="4"/>
              <w:right w:val="single" w:color="AAAAAA" w:sz="4"/>
            </w:tcBorders>
            <w:shd w:fill="FFFFFF" w:val="clear"/>
            <w:tcMar>
              <w:top w:type="dxa" w:w="70"/>
              <w:left w:type="dxa" w:w="120"/>
              <w:bottom w:type="dxa" w:w="70"/>
              <w:right w:type="dxa" w:w="120"/>
            </w:tcMar>
          </w:tcPr>
          <w:p>
            <w:r>
              <w:rPr>
                <w:rFonts w:ascii="Arial" w:cs="Arial" w:eastAsia="Arial" w:hAnsi="Arial"/>
                <w:sz w:val="19"/>
                <w:szCs w:val="19"/>
              </w:rPr>
              <w:t xml:space="preserve">No la ha solicitado</w:t>
            </w:r>
          </w:p>
        </w:tc>
        <w:tc>
          <w:tcPr>
            <w:tcW w:type="dxa" w:w="3120"/>
            <w:tcBorders>
              <w:top w:val="single" w:color="AAAAAA" w:sz="4"/>
              <w:left w:val="single" w:color="AAAAAA" w:sz="4"/>
              <w:bottom w:val="single" w:color="AAAAAA" w:sz="4"/>
              <w:right w:val="single" w:color="AAAAAA" w:sz="4"/>
            </w:tcBorders>
            <w:shd w:fill="FFFFFF" w:val="clear"/>
            <w:tcMar>
              <w:top w:type="dxa" w:w="70"/>
              <w:left w:type="dxa" w:w="120"/>
              <w:bottom w:type="dxa" w:w="70"/>
              <w:right w:type="dxa" w:w="120"/>
            </w:tcMar>
          </w:tcPr>
          <w:p>
            <w:r>
              <w:rPr>
                <w:rFonts w:ascii="Arial" w:cs="Arial" w:eastAsia="Arial" w:hAnsi="Arial"/>
                <w:sz w:val="19"/>
                <w:szCs w:val="19"/>
              </w:rPr>
              <w:t xml:space="preserve">La madre debe solicitar la exploración del menor si hay judicialización</w:t>
            </w:r>
          </w:p>
        </w:tc>
      </w:tr>
    </w:tbl>
    <w:p>
      <w:pPr>
        <w:spacing w:after="0" w:before="60"/>
      </w:pPr>
      <w:r>
        <w:rPr>
          <w:sz w:val="22"/>
          <w:szCs w:val="22"/>
        </w:rPr>
        <w:t xml:space="preserve"/>
      </w:r>
    </w:p>
    <w:p>
      <w:pPr>
        <w:pBdr>
          <w:bottom w:val="single" w:color="2E5FA3" w:sz="6" w:space="1"/>
        </w:pBdr>
        <w:spacing w:after="120" w:before="120"/>
      </w:pPr>
      <w:r>
        <w:t xml:space="preserve"/>
      </w:r>
    </w:p>
    <w:p>
      <w:pPr>
        <w:spacing w:after="0" w:before="200"/>
        <w:jc w:val="center"/>
      </w:pPr>
      <w:r>
        <w:rPr>
          <w:rFonts w:ascii="Arial" w:cs="Arial" w:eastAsia="Arial" w:hAnsi="Arial"/>
          <w:i/>
          <w:iCs/>
          <w:color w:val="888888"/>
          <w:sz w:val="18"/>
          <w:szCs w:val="18"/>
        </w:rPr>
        <w:t xml:space="preserve">Documento de uso interno — Confidencial — Comunicación entre letrados</w:t>
      </w:r>
    </w:p>
    <w:sectPr>
      <w:pgSz w:w="11906" w:h="16838" w:orient="portrait"/>
      <w:pgMar w:top="1440" w:right="1200" w:bottom="1440" w:left="12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 w:numId="4">
    <w:abstractNumId w:val="4"/>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60" w:before="360"/>
      <w:outlineLvl w:val="0"/>
    </w:pPr>
    <w:rPr>
      <w:rFonts w:ascii="Arial" w:cs="Arial" w:eastAsia="Arial" w:hAnsi="Arial"/>
      <w:b/>
      <w:bCs/>
      <w:color w:val="1F4E79"/>
      <w:sz w:val="32"/>
      <w:szCs w:val="32"/>
    </w:rPr>
  </w:style>
  <w:style w:type="paragraph" w:styleId="Heading2">
    <w:name w:val="Heading 2"/>
    <w:basedOn w:val="Normal"/>
    <w:next w:val="Normal"/>
    <w:qFormat/>
    <w:pPr>
      <w:spacing w:after="120" w:before="280"/>
      <w:outlineLvl w:val="1"/>
    </w:pPr>
    <w:rPr>
      <w:rFonts w:ascii="Arial" w:cs="Arial" w:eastAsia="Arial" w:hAnsi="Arial"/>
      <w:b/>
      <w:bCs/>
      <w:color w:val="2E5FA3"/>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2026-04-22T20:16:22.714Z</dcterms:created>
  <dcterms:modified xsi:type="dcterms:W3CDTF">2026-04-22T20:16:22.717Z</dcterms:modified>
</cp:coreProperties>
</file>

<file path=docProps/custom.xml><?xml version="1.0" encoding="utf-8"?>
<Properties xmlns="http://schemas.openxmlformats.org/officeDocument/2006/custom-properties" xmlns:vt="http://schemas.openxmlformats.org/officeDocument/2006/docPropsVTypes"/>
</file>